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6E" w:rsidRDefault="00257C6E" w:rsidP="00760B1F">
      <w:pPr>
        <w:pStyle w:val="titredocument"/>
        <w:spacing w:before="0" w:after="0"/>
        <w:rPr>
          <w:color w:val="0087C3"/>
          <w:sz w:val="28"/>
          <w:szCs w:val="28"/>
        </w:rPr>
      </w:pPr>
      <w:bookmarkStart w:id="0" w:name="_GoBack"/>
      <w:bookmarkEnd w:id="0"/>
    </w:p>
    <w:p w:rsidR="00D90821" w:rsidRDefault="00D90821" w:rsidP="00760B1F">
      <w:pPr>
        <w:pStyle w:val="titredocument"/>
        <w:spacing w:before="0" w:after="0"/>
        <w:rPr>
          <w:color w:val="0087C3"/>
          <w:sz w:val="28"/>
          <w:szCs w:val="28"/>
        </w:rPr>
      </w:pPr>
      <w:r w:rsidRPr="00426DA3">
        <w:rPr>
          <w:color w:val="0087C3"/>
          <w:sz w:val="28"/>
          <w:szCs w:val="28"/>
        </w:rPr>
        <w:t xml:space="preserve">Conditions </w:t>
      </w:r>
      <w:r w:rsidR="008015F4">
        <w:rPr>
          <w:color w:val="0087C3"/>
          <w:sz w:val="28"/>
          <w:szCs w:val="28"/>
        </w:rPr>
        <w:t>Particulières –</w:t>
      </w:r>
      <w:r w:rsidR="00DB4F9A">
        <w:rPr>
          <w:color w:val="0087C3"/>
          <w:sz w:val="28"/>
          <w:szCs w:val="28"/>
        </w:rPr>
        <w:t>Sécurité</w:t>
      </w:r>
    </w:p>
    <w:p w:rsidR="00EB2C40" w:rsidRDefault="00EB2C40" w:rsidP="00760B1F">
      <w:pPr>
        <w:pStyle w:val="titredocument"/>
        <w:spacing w:before="0" w:after="0"/>
        <w:rPr>
          <w:color w:val="0087C3"/>
          <w:sz w:val="14"/>
          <w:szCs w:val="14"/>
        </w:rPr>
      </w:pPr>
      <w:r>
        <w:rPr>
          <w:color w:val="0087C3"/>
          <w:sz w:val="14"/>
          <w:szCs w:val="14"/>
        </w:rPr>
        <w:t>En application des conditions Générales</w:t>
      </w:r>
      <w:r w:rsidR="00364601">
        <w:rPr>
          <w:color w:val="0087C3"/>
          <w:sz w:val="14"/>
          <w:szCs w:val="14"/>
        </w:rPr>
        <w:t xml:space="preserve"> des Offres Opérateurs</w:t>
      </w:r>
    </w:p>
    <w:p w:rsidR="00257C6E" w:rsidRPr="00EB2C40" w:rsidRDefault="00257C6E" w:rsidP="00760B1F">
      <w:pPr>
        <w:pStyle w:val="titredocument"/>
        <w:spacing w:before="0" w:after="0"/>
        <w:rPr>
          <w:color w:val="0087C3"/>
          <w:sz w:val="14"/>
          <w:szCs w:val="14"/>
        </w:rPr>
      </w:pPr>
    </w:p>
    <w:p w:rsidR="00760B1F" w:rsidRDefault="00760B1F" w:rsidP="00760B1F">
      <w:pPr>
        <w:pStyle w:val="titredocument"/>
        <w:spacing w:before="0" w:after="0"/>
        <w:rPr>
          <w:sz w:val="28"/>
          <w:szCs w:val="28"/>
        </w:rPr>
      </w:pPr>
    </w:p>
    <w:p w:rsidR="00257C6E" w:rsidRDefault="00257C6E" w:rsidP="00760B1F">
      <w:pPr>
        <w:pStyle w:val="titredocument"/>
        <w:spacing w:before="0" w:after="0"/>
        <w:rPr>
          <w:sz w:val="28"/>
          <w:szCs w:val="28"/>
        </w:rPr>
        <w:sectPr w:rsidR="00257C6E" w:rsidSect="00257C6E">
          <w:footerReference w:type="default" r:id="rId8"/>
          <w:pgSz w:w="11906" w:h="16838" w:code="9"/>
          <w:pgMar w:top="682" w:right="737" w:bottom="340" w:left="737" w:header="284" w:footer="0" w:gutter="0"/>
          <w:cols w:space="282"/>
          <w:docGrid w:linePitch="360"/>
        </w:sectPr>
      </w:pPr>
    </w:p>
    <w:p w:rsidR="00760B1F" w:rsidRPr="00760B1F" w:rsidRDefault="00760B1F" w:rsidP="00760B1F">
      <w:pPr>
        <w:pStyle w:val="titredocument"/>
        <w:spacing w:before="0" w:after="0"/>
        <w:rPr>
          <w:sz w:val="2"/>
          <w:szCs w:val="2"/>
        </w:rPr>
      </w:pPr>
    </w:p>
    <w:p w:rsidR="00760B1F" w:rsidRPr="00760B1F" w:rsidRDefault="00760B1F" w:rsidP="00760B1F">
      <w:pPr>
        <w:pStyle w:val="titredocument"/>
        <w:spacing w:before="0" w:after="0"/>
        <w:rPr>
          <w:b w:val="0"/>
          <w:sz w:val="2"/>
          <w:szCs w:val="2"/>
        </w:rPr>
        <w:sectPr w:rsidR="00760B1F" w:rsidRPr="00760B1F" w:rsidSect="00257C6E">
          <w:type w:val="continuous"/>
          <w:pgSz w:w="11906" w:h="16838" w:code="9"/>
          <w:pgMar w:top="682" w:right="737" w:bottom="340" w:left="737" w:header="284" w:footer="0" w:gutter="0"/>
          <w:cols w:num="2" w:space="282"/>
          <w:docGrid w:linePitch="360"/>
        </w:sectPr>
      </w:pPr>
    </w:p>
    <w:p w:rsidR="00D90821" w:rsidRPr="00364601" w:rsidRDefault="00D90821" w:rsidP="00D90821">
      <w:pPr>
        <w:spacing w:before="0" w:after="0"/>
        <w:jc w:val="both"/>
        <w:rPr>
          <w:b/>
          <w:color w:val="auto"/>
          <w:sz w:val="12"/>
          <w:szCs w:val="12"/>
        </w:rPr>
      </w:pPr>
      <w:r w:rsidRPr="00364601">
        <w:rPr>
          <w:b/>
          <w:color w:val="auto"/>
          <w:sz w:val="12"/>
          <w:szCs w:val="12"/>
        </w:rPr>
        <w:lastRenderedPageBreak/>
        <w:t>1. DEFINITIONS</w:t>
      </w:r>
    </w:p>
    <w:p w:rsidR="00C6724B" w:rsidRPr="00364601" w:rsidRDefault="00C6724B" w:rsidP="00C6724B">
      <w:pPr>
        <w:jc w:val="both"/>
        <w:rPr>
          <w:color w:val="auto"/>
          <w:szCs w:val="10"/>
        </w:rPr>
      </w:pPr>
      <w:r w:rsidRPr="00364601">
        <w:rPr>
          <w:color w:val="auto"/>
          <w:szCs w:val="10"/>
        </w:rPr>
        <w:t xml:space="preserve">Tous les termes qui figurent en majuscule dans le présent document et qui ne sont pas définis ci-après auront la signification qui leur est donnée par les Conditions Générales ou le Bon de Commande applicables au Service : </w:t>
      </w:r>
    </w:p>
    <w:p w:rsidR="00C6724B" w:rsidRPr="00364601" w:rsidRDefault="00C6724B" w:rsidP="00C6724B">
      <w:pPr>
        <w:jc w:val="both"/>
        <w:rPr>
          <w:color w:val="auto"/>
          <w:szCs w:val="10"/>
        </w:rPr>
      </w:pPr>
      <w:r w:rsidRPr="00364601">
        <w:rPr>
          <w:color w:val="auto"/>
          <w:szCs w:val="10"/>
        </w:rPr>
        <w:t>La « </w:t>
      </w:r>
      <w:r w:rsidRPr="00364601">
        <w:rPr>
          <w:b/>
          <w:color w:val="auto"/>
          <w:szCs w:val="10"/>
        </w:rPr>
        <w:t>Date de Mise en Service</w:t>
      </w:r>
      <w:r w:rsidRPr="00364601">
        <w:rPr>
          <w:color w:val="auto"/>
          <w:szCs w:val="10"/>
        </w:rPr>
        <w:t xml:space="preserve"> » : signifie la date à laquelle le Service fourni par </w:t>
      </w:r>
      <w:r w:rsidR="00482DC1" w:rsidRPr="00364601">
        <w:rPr>
          <w:color w:val="auto"/>
          <w:szCs w:val="10"/>
        </w:rPr>
        <w:t>Société d’Installations d’Accessoires pour les Télécommunications</w:t>
      </w:r>
      <w:r w:rsidRPr="00364601">
        <w:rPr>
          <w:color w:val="auto"/>
          <w:szCs w:val="10"/>
        </w:rPr>
        <w:t xml:space="preserve"> est opérationnel et prêt à être utilisé par le Client.</w:t>
      </w:r>
    </w:p>
    <w:p w:rsidR="00C6724B" w:rsidRPr="00364601" w:rsidRDefault="00C6724B" w:rsidP="00C6724B">
      <w:pPr>
        <w:jc w:val="both"/>
        <w:rPr>
          <w:color w:val="auto"/>
          <w:szCs w:val="10"/>
        </w:rPr>
      </w:pPr>
      <w:r w:rsidRPr="00364601">
        <w:rPr>
          <w:color w:val="auto"/>
          <w:szCs w:val="10"/>
        </w:rPr>
        <w:t>Un « </w:t>
      </w:r>
      <w:r w:rsidRPr="00364601">
        <w:rPr>
          <w:b/>
          <w:color w:val="auto"/>
          <w:szCs w:val="10"/>
        </w:rPr>
        <w:t>Code d’accès</w:t>
      </w:r>
      <w:r w:rsidRPr="00364601">
        <w:rPr>
          <w:color w:val="auto"/>
          <w:szCs w:val="10"/>
        </w:rPr>
        <w:t xml:space="preserve"> » signifie le couple constitué d’un nom d’utilisateur et d’un mot de passe pour commander ou  utiliser le Service, attribuer, modifier un service notamment grâce à l’interface d’administration du Service mis à sa disposition par </w:t>
      </w:r>
      <w:r w:rsidR="00482DC1" w:rsidRPr="00364601">
        <w:rPr>
          <w:color w:val="auto"/>
          <w:szCs w:val="10"/>
        </w:rPr>
        <w:t>Société d’Installations d’Accessoires pour les Télécommunications</w:t>
      </w:r>
      <w:r w:rsidRPr="00364601">
        <w:rPr>
          <w:color w:val="auto"/>
          <w:szCs w:val="10"/>
        </w:rPr>
        <w:t>.</w:t>
      </w:r>
    </w:p>
    <w:p w:rsidR="001B35B7" w:rsidRPr="00364601" w:rsidRDefault="00D90821" w:rsidP="000B2A07">
      <w:pPr>
        <w:spacing w:before="240" w:after="0"/>
        <w:jc w:val="both"/>
        <w:rPr>
          <w:b/>
          <w:color w:val="auto"/>
          <w:sz w:val="12"/>
          <w:szCs w:val="12"/>
        </w:rPr>
      </w:pPr>
      <w:r w:rsidRPr="00364601">
        <w:rPr>
          <w:b/>
          <w:color w:val="auto"/>
          <w:sz w:val="12"/>
          <w:szCs w:val="12"/>
        </w:rPr>
        <w:t xml:space="preserve">2. </w:t>
      </w:r>
      <w:r w:rsidR="00EB2C40" w:rsidRPr="00364601">
        <w:rPr>
          <w:b/>
          <w:color w:val="auto"/>
          <w:sz w:val="12"/>
          <w:szCs w:val="12"/>
        </w:rPr>
        <w:t>DESCRIPTION</w:t>
      </w:r>
      <w:r w:rsidRPr="00364601">
        <w:rPr>
          <w:b/>
          <w:color w:val="auto"/>
          <w:sz w:val="12"/>
          <w:szCs w:val="12"/>
        </w:rPr>
        <w:t xml:space="preserve"> D</w:t>
      </w:r>
      <w:r w:rsidR="00B52775" w:rsidRPr="00364601">
        <w:rPr>
          <w:b/>
          <w:color w:val="auto"/>
          <w:sz w:val="12"/>
          <w:szCs w:val="12"/>
        </w:rPr>
        <w:t>ES</w:t>
      </w:r>
      <w:r w:rsidRPr="00364601">
        <w:rPr>
          <w:b/>
          <w:color w:val="auto"/>
          <w:sz w:val="12"/>
          <w:szCs w:val="12"/>
        </w:rPr>
        <w:t xml:space="preserve"> SERVICE</w:t>
      </w:r>
      <w:r w:rsidR="00B52775" w:rsidRPr="00364601">
        <w:rPr>
          <w:b/>
          <w:color w:val="auto"/>
          <w:sz w:val="12"/>
          <w:szCs w:val="12"/>
        </w:rPr>
        <w:t>S</w:t>
      </w:r>
    </w:p>
    <w:p w:rsidR="00B52775" w:rsidRPr="00364601" w:rsidRDefault="00B52775" w:rsidP="00B52775">
      <w:pPr>
        <w:pStyle w:val="Titre2"/>
        <w:rPr>
          <w:color w:val="auto"/>
        </w:rPr>
      </w:pPr>
      <w:r w:rsidRPr="00364601">
        <w:rPr>
          <w:color w:val="auto"/>
        </w:rPr>
        <w:t>Services VPN</w:t>
      </w:r>
      <w:r w:rsidR="00066DEA" w:rsidRPr="00364601">
        <w:rPr>
          <w:color w:val="auto"/>
        </w:rPr>
        <w:t xml:space="preserve"> et options</w:t>
      </w:r>
    </w:p>
    <w:p w:rsidR="001B35B7" w:rsidRPr="00364601" w:rsidRDefault="00B52775" w:rsidP="001B35B7">
      <w:pPr>
        <w:rPr>
          <w:color w:val="auto"/>
        </w:rPr>
      </w:pPr>
      <w:r w:rsidRPr="00364601">
        <w:rPr>
          <w:color w:val="auto"/>
        </w:rPr>
        <w:t xml:space="preserve">Ce service consiste en la fourniture et la gestion par </w:t>
      </w:r>
      <w:r w:rsidR="00482DC1" w:rsidRPr="00364601">
        <w:rPr>
          <w:color w:val="auto"/>
        </w:rPr>
        <w:t>Société d’Installations d’Accessoires pour les Télécommunications</w:t>
      </w:r>
      <w:r w:rsidRPr="00364601">
        <w:rPr>
          <w:color w:val="auto"/>
        </w:rPr>
        <w:t xml:space="preserve"> d'un réseau privé virtuel utilisant le protocole MPLS et permettant l'interconnexion de sites du Client par l'intermédiaire de liaisons fournies par </w:t>
      </w:r>
      <w:r w:rsidR="00482DC1" w:rsidRPr="00364601">
        <w:rPr>
          <w:color w:val="auto"/>
        </w:rPr>
        <w:t>Société d’Installations d’Accessoires pour les Télécommunications</w:t>
      </w:r>
      <w:r w:rsidRPr="00364601">
        <w:rPr>
          <w:color w:val="auto"/>
        </w:rPr>
        <w:t>. Il peut être souscrit en complément du Service Accès que le Client souhaite inclure dans le réseau privé.</w:t>
      </w:r>
    </w:p>
    <w:p w:rsidR="00B52775" w:rsidRPr="00364601" w:rsidRDefault="00B52775" w:rsidP="001B35B7">
      <w:pPr>
        <w:rPr>
          <w:color w:val="auto"/>
        </w:rPr>
      </w:pPr>
      <w:r w:rsidRPr="00364601">
        <w:rPr>
          <w:color w:val="auto"/>
        </w:rPr>
        <w:t>Seul le trafic IP du Client peut être acheminé via le Service VPN. Il appartient au Client de</w:t>
      </w:r>
      <w:r w:rsidR="00066DEA" w:rsidRPr="00364601">
        <w:rPr>
          <w:color w:val="auto"/>
        </w:rPr>
        <w:t xml:space="preserve"> </w:t>
      </w:r>
      <w:r w:rsidRPr="00364601">
        <w:rPr>
          <w:color w:val="auto"/>
        </w:rPr>
        <w:t>s'assurer que les plans d'adressage des différents</w:t>
      </w:r>
      <w:r w:rsidR="00066DEA" w:rsidRPr="00364601">
        <w:rPr>
          <w:color w:val="auto"/>
        </w:rPr>
        <w:t xml:space="preserve"> </w:t>
      </w:r>
      <w:r w:rsidRPr="00364601">
        <w:rPr>
          <w:color w:val="auto"/>
        </w:rPr>
        <w:t>Sites</w:t>
      </w:r>
      <w:r w:rsidR="00066DEA" w:rsidRPr="00364601">
        <w:rPr>
          <w:color w:val="auto"/>
        </w:rPr>
        <w:t xml:space="preserve"> </w:t>
      </w:r>
      <w:r w:rsidRPr="00364601">
        <w:rPr>
          <w:color w:val="auto"/>
        </w:rPr>
        <w:t>sont compatibles entre eux</w:t>
      </w:r>
      <w:r w:rsidR="00066DEA" w:rsidRPr="00364601">
        <w:rPr>
          <w:color w:val="auto"/>
        </w:rPr>
        <w:t xml:space="preserve"> et d'effectuer la migration de son trafic IP.</w:t>
      </w:r>
    </w:p>
    <w:p w:rsidR="00066DEA" w:rsidRPr="00364601" w:rsidRDefault="00066DEA" w:rsidP="001B35B7">
      <w:pPr>
        <w:rPr>
          <w:color w:val="auto"/>
        </w:rPr>
      </w:pPr>
      <w:r w:rsidRPr="00364601">
        <w:rPr>
          <w:color w:val="auto"/>
        </w:rPr>
        <w:t>Le trafic IP peut être répartis en plusieurs classes de services différentes et sont définies et modifiables par le Client.</w:t>
      </w:r>
    </w:p>
    <w:p w:rsidR="00066DEA" w:rsidRPr="00364601" w:rsidRDefault="00066DEA" w:rsidP="001B35B7">
      <w:pPr>
        <w:rPr>
          <w:color w:val="auto"/>
        </w:rPr>
      </w:pPr>
      <w:r w:rsidRPr="00364601">
        <w:rPr>
          <w:color w:val="auto"/>
        </w:rPr>
        <w:t>Accès nomade: cette option permet aux utilisateurs d'accéder au réseau VPN du Client de manière sécurisée via l'Utilisation de tunnels SSL.</w:t>
      </w:r>
    </w:p>
    <w:p w:rsidR="00066DEA" w:rsidRPr="00364601" w:rsidRDefault="00066DEA" w:rsidP="00066DEA">
      <w:pPr>
        <w:rPr>
          <w:color w:val="auto"/>
        </w:rPr>
      </w:pPr>
      <w:r w:rsidRPr="00364601">
        <w:rPr>
          <w:color w:val="auto"/>
        </w:rPr>
        <w:t xml:space="preserve">Accès sites distants: cette option permet à un site distant non raccordés au VPN MPL de se connecter via un tunnel </w:t>
      </w:r>
      <w:proofErr w:type="spellStart"/>
      <w:r w:rsidRPr="00364601">
        <w:rPr>
          <w:color w:val="auto"/>
        </w:rPr>
        <w:t>IPsec</w:t>
      </w:r>
      <w:proofErr w:type="spellEnd"/>
      <w:r w:rsidRPr="00364601">
        <w:rPr>
          <w:color w:val="auto"/>
        </w:rPr>
        <w:t>.</w:t>
      </w:r>
    </w:p>
    <w:p w:rsidR="000B2A07" w:rsidRPr="00364601" w:rsidRDefault="000B2A07" w:rsidP="00066DEA">
      <w:pPr>
        <w:rPr>
          <w:color w:val="auto"/>
        </w:rPr>
      </w:pPr>
    </w:p>
    <w:p w:rsidR="00066DEA" w:rsidRPr="00364601" w:rsidRDefault="00066DEA" w:rsidP="00066DEA">
      <w:pPr>
        <w:pStyle w:val="Titre2"/>
        <w:rPr>
          <w:color w:val="auto"/>
        </w:rPr>
      </w:pPr>
      <w:r w:rsidRPr="00364601">
        <w:rPr>
          <w:color w:val="auto"/>
        </w:rPr>
        <w:t>Firewall et options</w:t>
      </w:r>
    </w:p>
    <w:p w:rsidR="00066DEA" w:rsidRPr="00364601" w:rsidRDefault="00066DEA" w:rsidP="001B35B7">
      <w:pPr>
        <w:rPr>
          <w:color w:val="auto"/>
        </w:rPr>
      </w:pPr>
      <w:r w:rsidRPr="00364601">
        <w:rPr>
          <w:color w:val="auto"/>
        </w:rPr>
        <w:t>Ce service consiste à fournir une solution de sécurité centralisé dans le but de faire respecter la politique d'accès aux ressources réseau de l'entreprise en définissant le type de communications autorisées ou interdites en Interne ou vers Internet. Il appartient au Client de définir, sous sa responsabilité, les règles d'ouverture et de fermeture de flux sortants.</w:t>
      </w:r>
    </w:p>
    <w:p w:rsidR="00066DEA" w:rsidRPr="00364601" w:rsidRDefault="00066DEA" w:rsidP="001B35B7">
      <w:pPr>
        <w:rPr>
          <w:color w:val="auto"/>
        </w:rPr>
      </w:pPr>
      <w:r w:rsidRPr="00364601">
        <w:rPr>
          <w:color w:val="auto"/>
        </w:rPr>
        <w:t xml:space="preserve">L'option Relais Mail / antivirus/ </w:t>
      </w:r>
      <w:proofErr w:type="spellStart"/>
      <w:r w:rsidRPr="00364601">
        <w:rPr>
          <w:color w:val="auto"/>
        </w:rPr>
        <w:t>AntiSpam</w:t>
      </w:r>
      <w:proofErr w:type="spellEnd"/>
      <w:r w:rsidRPr="00364601">
        <w:rPr>
          <w:color w:val="auto"/>
        </w:rPr>
        <w:t xml:space="preserve"> consiste à mettre à disposition du Client des outils limitant les risques de Spam et/ou d'infection (</w:t>
      </w:r>
      <w:proofErr w:type="spellStart"/>
      <w:r w:rsidRPr="00364601">
        <w:rPr>
          <w:color w:val="auto"/>
        </w:rPr>
        <w:t>Anti-Virus</w:t>
      </w:r>
      <w:proofErr w:type="spellEnd"/>
      <w:r w:rsidRPr="00364601">
        <w:rPr>
          <w:color w:val="auto"/>
        </w:rPr>
        <w:t xml:space="preserve"> et anti-spyware) dans le cadre de l'utilisation de la messagerie électronique.</w:t>
      </w:r>
    </w:p>
    <w:p w:rsidR="000B2A07" w:rsidRPr="00364601" w:rsidRDefault="000B2A07" w:rsidP="001B35B7">
      <w:pPr>
        <w:rPr>
          <w:color w:val="auto"/>
        </w:rPr>
      </w:pPr>
      <w:r w:rsidRPr="00364601">
        <w:rPr>
          <w:color w:val="auto"/>
        </w:rPr>
        <w:t xml:space="preserve">L'Option filtrage </w:t>
      </w:r>
      <w:proofErr w:type="spellStart"/>
      <w:r w:rsidRPr="00364601">
        <w:rPr>
          <w:color w:val="auto"/>
        </w:rPr>
        <w:t>WEb</w:t>
      </w:r>
      <w:proofErr w:type="spellEnd"/>
      <w:r w:rsidRPr="00364601">
        <w:rPr>
          <w:color w:val="auto"/>
        </w:rPr>
        <w:t xml:space="preserve"> consiste à fournir les outils pour que le Client puisse définir et administrer sa politique de filtrage Web pour ses utilisateurs.</w:t>
      </w:r>
    </w:p>
    <w:p w:rsidR="00B52775" w:rsidRPr="00364601" w:rsidRDefault="00B52775" w:rsidP="001B35B7">
      <w:pPr>
        <w:rPr>
          <w:color w:val="auto"/>
        </w:rPr>
      </w:pPr>
    </w:p>
    <w:p w:rsidR="00D90821" w:rsidRPr="00364601" w:rsidRDefault="00D90821" w:rsidP="00257C6E">
      <w:pPr>
        <w:spacing w:before="240"/>
        <w:jc w:val="both"/>
        <w:rPr>
          <w:b/>
          <w:color w:val="auto"/>
          <w:sz w:val="12"/>
          <w:szCs w:val="12"/>
        </w:rPr>
      </w:pPr>
      <w:r w:rsidRPr="00364601">
        <w:rPr>
          <w:b/>
          <w:color w:val="auto"/>
          <w:sz w:val="12"/>
          <w:szCs w:val="12"/>
        </w:rPr>
        <w:t xml:space="preserve">3. </w:t>
      </w:r>
      <w:r w:rsidR="00087744" w:rsidRPr="00364601">
        <w:rPr>
          <w:b/>
          <w:color w:val="auto"/>
          <w:sz w:val="12"/>
          <w:szCs w:val="12"/>
        </w:rPr>
        <w:t>MISE A DISPOSITION D’EQUIPEMENTS</w:t>
      </w:r>
    </w:p>
    <w:p w:rsidR="008105B3" w:rsidRPr="00364601" w:rsidRDefault="008105B3" w:rsidP="008105B3">
      <w:pPr>
        <w:jc w:val="both"/>
        <w:rPr>
          <w:color w:val="auto"/>
          <w:szCs w:val="10"/>
        </w:rPr>
      </w:pPr>
      <w:r w:rsidRPr="00364601">
        <w:rPr>
          <w:color w:val="auto"/>
          <w:szCs w:val="10"/>
        </w:rPr>
        <w:t xml:space="preserve">A la demande du Client, </w:t>
      </w:r>
      <w:r w:rsidR="00482DC1" w:rsidRPr="00364601">
        <w:rPr>
          <w:color w:val="auto"/>
          <w:szCs w:val="10"/>
        </w:rPr>
        <w:t>Société d’Installations d’Accessoires pour les Télécommunications</w:t>
      </w:r>
      <w:r w:rsidRPr="00364601">
        <w:rPr>
          <w:color w:val="auto"/>
          <w:szCs w:val="10"/>
        </w:rPr>
        <w:t xml:space="preserve"> accepte de fournir et de laisser à la disposition du Client, qui l’accepte, pendant toute la durée du Contrat, les routeurs et autres équipements informatiques ou de télécommunications mentionnés dans la commande de services (ci-après les « </w:t>
      </w:r>
      <w:r w:rsidRPr="00364601">
        <w:rPr>
          <w:b/>
          <w:color w:val="auto"/>
          <w:szCs w:val="10"/>
        </w:rPr>
        <w:t>Equipements</w:t>
      </w:r>
      <w:r w:rsidRPr="00364601">
        <w:rPr>
          <w:color w:val="auto"/>
          <w:szCs w:val="10"/>
        </w:rPr>
        <w:t xml:space="preserve"> »), ou souscrits en ligne sur l’Interface </w:t>
      </w:r>
      <w:r w:rsidR="00482DC1" w:rsidRPr="00364601">
        <w:rPr>
          <w:color w:val="auto"/>
          <w:szCs w:val="10"/>
        </w:rPr>
        <w:t>Société d’Installations d’Accessoires pour les Télécommunications</w:t>
      </w:r>
      <w:r w:rsidRPr="00364601">
        <w:rPr>
          <w:color w:val="auto"/>
          <w:szCs w:val="10"/>
        </w:rPr>
        <w:t>.</w:t>
      </w:r>
    </w:p>
    <w:p w:rsidR="008105B3" w:rsidRPr="00364601" w:rsidRDefault="00482DC1" w:rsidP="008105B3">
      <w:pPr>
        <w:jc w:val="both"/>
        <w:rPr>
          <w:color w:val="auto"/>
          <w:szCs w:val="10"/>
        </w:rPr>
      </w:pPr>
      <w:r w:rsidRPr="00364601">
        <w:rPr>
          <w:color w:val="auto"/>
          <w:szCs w:val="10"/>
        </w:rPr>
        <w:t>Société d’Installations d’Accessoires pour les Télécommunications</w:t>
      </w:r>
      <w:r w:rsidR="008105B3" w:rsidRPr="00364601">
        <w:rPr>
          <w:color w:val="auto"/>
          <w:szCs w:val="10"/>
        </w:rPr>
        <w:t xml:space="preserve"> fixera les frais applicables aux Equipements destinés à être utilisés avec le Service, et dont la fourniture a été prise en charge par </w:t>
      </w:r>
      <w:r w:rsidRPr="00364601">
        <w:rPr>
          <w:color w:val="auto"/>
          <w:szCs w:val="10"/>
        </w:rPr>
        <w:t>Société d’Installations d’Accessoires pour les Télécommunications</w:t>
      </w:r>
      <w:r w:rsidR="008105B3" w:rsidRPr="00364601">
        <w:rPr>
          <w:color w:val="auto"/>
          <w:szCs w:val="10"/>
        </w:rPr>
        <w:t>, à compter du jour où ces équipements sont commandés par le Client.</w:t>
      </w:r>
    </w:p>
    <w:p w:rsidR="008105B3" w:rsidRPr="00364601" w:rsidRDefault="008105B3" w:rsidP="008105B3">
      <w:pPr>
        <w:jc w:val="both"/>
        <w:rPr>
          <w:color w:val="auto"/>
          <w:szCs w:val="10"/>
        </w:rPr>
      </w:pPr>
      <w:r w:rsidRPr="00364601">
        <w:rPr>
          <w:color w:val="auto"/>
          <w:szCs w:val="10"/>
        </w:rPr>
        <w:t xml:space="preserve">Les Equipements sont mis à disposition du Client pendant la durée du Contrat, uniquement pour être utilisés dans le cadre du Service. Le Client s’engage à n’utiliser les Equipements que conformément à la documentation technique relative aux Equipements et le cas échéant selon les instructions et recommandations fournies par </w:t>
      </w:r>
      <w:r w:rsidR="00482DC1" w:rsidRPr="00364601">
        <w:rPr>
          <w:color w:val="auto"/>
          <w:szCs w:val="10"/>
        </w:rPr>
        <w:t>Société d’Installations d’Accessoires pour les Télécommunications</w:t>
      </w:r>
      <w:r w:rsidRPr="00364601">
        <w:rPr>
          <w:color w:val="auto"/>
          <w:szCs w:val="10"/>
        </w:rPr>
        <w:t>.</w:t>
      </w:r>
    </w:p>
    <w:p w:rsidR="008105B3" w:rsidRPr="00364601" w:rsidRDefault="008105B3" w:rsidP="008105B3">
      <w:pPr>
        <w:jc w:val="both"/>
        <w:rPr>
          <w:color w:val="auto"/>
          <w:szCs w:val="10"/>
        </w:rPr>
      </w:pPr>
      <w:r w:rsidRPr="00364601">
        <w:rPr>
          <w:color w:val="auto"/>
          <w:szCs w:val="10"/>
        </w:rPr>
        <w:t>Il est formellement interdit au Client de conclure pour les Equipements toute cession des droits résultant du Contrat. Néanmoins, le Client s’engage personnellement à leur garde et à leur conservation et à ce qu’aucune détérioration ne survienne aux Equipements même du fait de leur usage.</w:t>
      </w:r>
    </w:p>
    <w:p w:rsidR="008105B3" w:rsidRPr="00364601" w:rsidRDefault="008105B3" w:rsidP="008105B3">
      <w:pPr>
        <w:jc w:val="both"/>
        <w:rPr>
          <w:color w:val="auto"/>
          <w:szCs w:val="10"/>
        </w:rPr>
      </w:pPr>
      <w:r w:rsidRPr="00364601">
        <w:rPr>
          <w:color w:val="auto"/>
          <w:szCs w:val="10"/>
        </w:rPr>
        <w:t>A l’issue de la période de mise à disposition ou en cas de résiliation du Contrat, le Client doit restituer les Equipements en bon état de fonctionnement, d’entretien, accompagnés de leurs accessoires éventuels (câbles et autres). Les Equipements ainsi retournés le seront dans un « </w:t>
      </w:r>
      <w:proofErr w:type="spellStart"/>
      <w:r w:rsidRPr="00364601">
        <w:rPr>
          <w:color w:val="auto"/>
          <w:szCs w:val="10"/>
        </w:rPr>
        <w:t>sur-emballage</w:t>
      </w:r>
      <w:proofErr w:type="spellEnd"/>
      <w:r w:rsidRPr="00364601">
        <w:rPr>
          <w:color w:val="auto"/>
          <w:szCs w:val="10"/>
        </w:rPr>
        <w:t xml:space="preserve"> », sur lequel apparaîtront clairement la mention « Retour Equipements </w:t>
      </w:r>
      <w:r w:rsidR="00482DC1" w:rsidRPr="00364601">
        <w:rPr>
          <w:color w:val="auto"/>
          <w:szCs w:val="10"/>
        </w:rPr>
        <w:t>Société d’Installations d’Accessoires pour les Télécommunications</w:t>
      </w:r>
      <w:r w:rsidRPr="00364601">
        <w:rPr>
          <w:color w:val="auto"/>
          <w:szCs w:val="10"/>
        </w:rPr>
        <w:t> » ainsi que le nom du Client.</w:t>
      </w:r>
    </w:p>
    <w:p w:rsidR="008105B3" w:rsidRPr="00364601" w:rsidRDefault="008105B3" w:rsidP="008105B3">
      <w:pPr>
        <w:jc w:val="both"/>
        <w:rPr>
          <w:color w:val="auto"/>
          <w:szCs w:val="10"/>
        </w:rPr>
      </w:pPr>
      <w:r w:rsidRPr="00364601">
        <w:rPr>
          <w:color w:val="auto"/>
          <w:szCs w:val="10"/>
        </w:rPr>
        <w:t xml:space="preserve">Le défaut de restitution des Equipements aux conditions spécifiées ci-dessus au premier jour ouvré suivant la période de mise à disposition entraînera au choix du </w:t>
      </w:r>
      <w:r w:rsidR="00482DC1" w:rsidRPr="00364601">
        <w:rPr>
          <w:color w:val="auto"/>
          <w:szCs w:val="10"/>
        </w:rPr>
        <w:t>Société d’Installations d’Accessoires pour les Télécommunications</w:t>
      </w:r>
      <w:r w:rsidRPr="00364601">
        <w:rPr>
          <w:color w:val="auto"/>
          <w:szCs w:val="10"/>
        </w:rPr>
        <w:t> :</w:t>
      </w:r>
    </w:p>
    <w:p w:rsidR="008105B3" w:rsidRPr="00364601" w:rsidRDefault="008105B3" w:rsidP="008105B3">
      <w:pPr>
        <w:numPr>
          <w:ilvl w:val="0"/>
          <w:numId w:val="27"/>
        </w:numPr>
        <w:spacing w:before="0" w:after="0"/>
        <w:jc w:val="both"/>
        <w:rPr>
          <w:color w:val="auto"/>
          <w:szCs w:val="10"/>
        </w:rPr>
      </w:pPr>
      <w:r w:rsidRPr="00364601">
        <w:rPr>
          <w:color w:val="auto"/>
          <w:szCs w:val="10"/>
        </w:rPr>
        <w:t xml:space="preserve">La vente par </w:t>
      </w:r>
      <w:r w:rsidR="00482DC1" w:rsidRPr="00364601">
        <w:rPr>
          <w:color w:val="auto"/>
          <w:szCs w:val="10"/>
        </w:rPr>
        <w:t>Société d’Installations d’Accessoires pour les Télécommunications</w:t>
      </w:r>
      <w:r w:rsidRPr="00364601">
        <w:rPr>
          <w:color w:val="auto"/>
          <w:szCs w:val="10"/>
        </w:rPr>
        <w:t xml:space="preserve"> au Client des Equipements au prix indiqué dans le Bon de Commande. Cette vente sous la condition suspensive de la levée d’option par </w:t>
      </w:r>
      <w:r w:rsidR="00482DC1" w:rsidRPr="00364601">
        <w:rPr>
          <w:color w:val="auto"/>
          <w:szCs w:val="10"/>
        </w:rPr>
        <w:t>Société d’Installations d’Accessoires pour les Télécommunications</w:t>
      </w:r>
      <w:r w:rsidRPr="00364601">
        <w:rPr>
          <w:color w:val="auto"/>
          <w:szCs w:val="10"/>
        </w:rPr>
        <w:t xml:space="preserve"> est réputée parfaite entre les parties dès le jour de la signature du Contrat. </w:t>
      </w:r>
    </w:p>
    <w:p w:rsidR="008105B3" w:rsidRPr="00364601" w:rsidRDefault="008105B3" w:rsidP="008105B3">
      <w:pPr>
        <w:numPr>
          <w:ilvl w:val="0"/>
          <w:numId w:val="27"/>
        </w:numPr>
        <w:spacing w:before="0" w:after="0"/>
        <w:jc w:val="both"/>
        <w:rPr>
          <w:color w:val="auto"/>
          <w:szCs w:val="10"/>
        </w:rPr>
      </w:pPr>
      <w:r w:rsidRPr="00364601">
        <w:rPr>
          <w:color w:val="auto"/>
          <w:szCs w:val="10"/>
        </w:rPr>
        <w:t xml:space="preserve">La reprise de possession des Equipements par </w:t>
      </w:r>
      <w:r w:rsidR="00482DC1" w:rsidRPr="00364601">
        <w:rPr>
          <w:color w:val="auto"/>
          <w:szCs w:val="10"/>
        </w:rPr>
        <w:t>Société d’Installations d’Accessoires pour les Télécommunications</w:t>
      </w:r>
      <w:r w:rsidRPr="00364601">
        <w:rPr>
          <w:color w:val="auto"/>
          <w:szCs w:val="10"/>
        </w:rPr>
        <w:t xml:space="preserve"> ou tout mandataire de son choix, et ce, sans autorisation préalable du Client, celui-ci devant donner l’accès au </w:t>
      </w:r>
      <w:r w:rsidR="00482DC1" w:rsidRPr="00364601">
        <w:rPr>
          <w:color w:val="auto"/>
          <w:szCs w:val="10"/>
        </w:rPr>
        <w:t>Société d’Installations d’Accessoires pour les Télécommunications</w:t>
      </w:r>
      <w:r w:rsidRPr="00364601">
        <w:rPr>
          <w:color w:val="auto"/>
          <w:szCs w:val="10"/>
        </w:rPr>
        <w:t xml:space="preserve"> ou à son mandataire aux Equipements afin de pouvoir procéder librement à leur reprise. Les frais occasionnés par ces opérations sont à la charge du Client.</w:t>
      </w:r>
    </w:p>
    <w:p w:rsidR="008105B3" w:rsidRPr="00364601" w:rsidRDefault="008105B3" w:rsidP="008105B3">
      <w:pPr>
        <w:jc w:val="both"/>
        <w:rPr>
          <w:color w:val="auto"/>
          <w:szCs w:val="10"/>
        </w:rPr>
      </w:pPr>
      <w:r w:rsidRPr="00364601">
        <w:rPr>
          <w:color w:val="auto"/>
          <w:szCs w:val="10"/>
        </w:rPr>
        <w:t xml:space="preserve">La mise à disposition des Equipements énumérés par le Bon de Commande n’opère pas un transfert de propriété desdits matériels, mais les risques afférents aux Equipements du </w:t>
      </w:r>
      <w:r w:rsidR="00482DC1" w:rsidRPr="00364601">
        <w:rPr>
          <w:color w:val="auto"/>
          <w:szCs w:val="10"/>
        </w:rPr>
        <w:t>Société d’Installations d’Accessoires pour les Télécommunications</w:t>
      </w:r>
      <w:r w:rsidRPr="00364601">
        <w:rPr>
          <w:color w:val="auto"/>
          <w:szCs w:val="10"/>
        </w:rPr>
        <w:t>  prêtés sont transférés au moment de la livraison dans les locaux du Client jusqu’à la restitution des Equipements ou à leur acquisition par le Client. Le Client s’engage en conséquence pendant la période de mise à disposition à souscrire toutes assurances nécessaires relatives aux Equipements et à leur usage.</w:t>
      </w:r>
    </w:p>
    <w:p w:rsidR="008105B3" w:rsidRPr="00364601" w:rsidRDefault="008105B3" w:rsidP="008105B3">
      <w:pPr>
        <w:jc w:val="both"/>
        <w:rPr>
          <w:color w:val="auto"/>
          <w:szCs w:val="10"/>
        </w:rPr>
      </w:pPr>
      <w:r w:rsidRPr="00364601">
        <w:rPr>
          <w:color w:val="auto"/>
          <w:szCs w:val="10"/>
        </w:rPr>
        <w:t xml:space="preserve">En cas de tentative de saisie des Equipements, le Client doit en aviser sans délai </w:t>
      </w:r>
      <w:r w:rsidR="00482DC1" w:rsidRPr="00364601">
        <w:rPr>
          <w:color w:val="auto"/>
          <w:szCs w:val="10"/>
        </w:rPr>
        <w:t>Société d’Installations d’Accessoires pour les Télécommunications</w:t>
      </w:r>
      <w:r w:rsidRPr="00364601">
        <w:rPr>
          <w:color w:val="auto"/>
          <w:szCs w:val="10"/>
        </w:rPr>
        <w:t xml:space="preserve">, élever toute protestation et prendre toutes les réserves nécessaires pour faire connaître les droits du </w:t>
      </w:r>
      <w:r w:rsidR="00482DC1" w:rsidRPr="00364601">
        <w:rPr>
          <w:color w:val="auto"/>
          <w:szCs w:val="10"/>
        </w:rPr>
        <w:t>Société d’Installations d’Accessoires pour les Télécommunications</w:t>
      </w:r>
      <w:r w:rsidRPr="00364601">
        <w:rPr>
          <w:color w:val="auto"/>
          <w:szCs w:val="10"/>
        </w:rPr>
        <w:t xml:space="preserve"> sur les Equipements. Si une saisie a lieu, le Client doit faire diligence à ses frais pour en obtenir la mainlevée.</w:t>
      </w:r>
    </w:p>
    <w:p w:rsidR="008105B3" w:rsidRPr="00364601" w:rsidRDefault="008105B3" w:rsidP="008105B3">
      <w:pPr>
        <w:jc w:val="both"/>
        <w:rPr>
          <w:color w:val="auto"/>
          <w:szCs w:val="10"/>
        </w:rPr>
      </w:pPr>
      <w:proofErr w:type="gramStart"/>
      <w:r w:rsidRPr="00364601">
        <w:rPr>
          <w:color w:val="auto"/>
          <w:szCs w:val="10"/>
        </w:rPr>
        <w:t>mention</w:t>
      </w:r>
      <w:proofErr w:type="gramEnd"/>
      <w:r w:rsidRPr="00364601">
        <w:rPr>
          <w:color w:val="auto"/>
          <w:szCs w:val="10"/>
        </w:rPr>
        <w:t xml:space="preserve"> expresse du Bon de Commande, acquière les Equipements auprès du </w:t>
      </w:r>
      <w:r w:rsidR="00482DC1" w:rsidRPr="00364601">
        <w:rPr>
          <w:color w:val="auto"/>
          <w:szCs w:val="10"/>
        </w:rPr>
        <w:t>Société d’Installations d’Accessoires pour les Télécommunications</w:t>
      </w:r>
      <w:r w:rsidRPr="00364601">
        <w:rPr>
          <w:color w:val="auto"/>
          <w:szCs w:val="10"/>
        </w:rPr>
        <w:t xml:space="preserve">. </w:t>
      </w:r>
      <w:r w:rsidR="00066DEA" w:rsidRPr="00364601">
        <w:rPr>
          <w:color w:val="auto"/>
          <w:szCs w:val="10"/>
        </w:rPr>
        <w:t xml:space="preserve">Les </w:t>
      </w:r>
      <w:r w:rsidRPr="00364601">
        <w:rPr>
          <w:color w:val="auto"/>
          <w:szCs w:val="10"/>
        </w:rPr>
        <w:t xml:space="preserve"> Equipements vendus le sont sous réserve de propriété jusqu’au paiement complet des Frais de Mise en Service au </w:t>
      </w:r>
      <w:r w:rsidR="00482DC1" w:rsidRPr="00364601">
        <w:rPr>
          <w:color w:val="auto"/>
          <w:szCs w:val="10"/>
        </w:rPr>
        <w:t>Société d’Installations d’Accessoires pour les Télécommunications</w:t>
      </w:r>
      <w:r w:rsidRPr="00364601">
        <w:rPr>
          <w:color w:val="auto"/>
          <w:szCs w:val="10"/>
        </w:rPr>
        <w:t xml:space="preserve"> et bénéfice d’une garantie de douze (12) mois à compter de leur livraison. </w:t>
      </w:r>
    </w:p>
    <w:p w:rsidR="00364601" w:rsidRDefault="00364601" w:rsidP="00317416">
      <w:pPr>
        <w:pStyle w:val="Titre"/>
        <w:numPr>
          <w:ilvl w:val="0"/>
          <w:numId w:val="0"/>
        </w:numPr>
        <w:spacing w:before="240"/>
        <w:rPr>
          <w:rFonts w:eastAsia="Calibri" w:cs="Arial"/>
          <w:bCs w:val="0"/>
          <w:sz w:val="12"/>
          <w:szCs w:val="12"/>
          <w:lang w:eastAsia="en-US"/>
        </w:rPr>
      </w:pPr>
    </w:p>
    <w:p w:rsidR="00317416" w:rsidRPr="00364601" w:rsidRDefault="00317416" w:rsidP="00317416">
      <w:pPr>
        <w:pStyle w:val="Titre"/>
        <w:numPr>
          <w:ilvl w:val="0"/>
          <w:numId w:val="0"/>
        </w:numPr>
        <w:spacing w:before="240"/>
        <w:rPr>
          <w:rFonts w:eastAsia="Calibri" w:cs="Arial"/>
          <w:bCs w:val="0"/>
          <w:sz w:val="12"/>
          <w:szCs w:val="12"/>
          <w:lang w:eastAsia="en-US"/>
        </w:rPr>
      </w:pPr>
      <w:r w:rsidRPr="00364601">
        <w:rPr>
          <w:rFonts w:eastAsia="Calibri" w:cs="Arial"/>
          <w:bCs w:val="0"/>
          <w:sz w:val="12"/>
          <w:szCs w:val="12"/>
          <w:lang w:eastAsia="en-US"/>
        </w:rPr>
        <w:lastRenderedPageBreak/>
        <w:t>4. OBJECTIFS DE QUALITE DE SERVICE</w:t>
      </w:r>
    </w:p>
    <w:p w:rsidR="00317416" w:rsidRPr="00364601" w:rsidRDefault="00482DC1" w:rsidP="00317416">
      <w:pPr>
        <w:jc w:val="both"/>
        <w:rPr>
          <w:color w:val="auto"/>
          <w:szCs w:val="10"/>
        </w:rPr>
      </w:pPr>
      <w:r w:rsidRPr="00364601">
        <w:rPr>
          <w:color w:val="auto"/>
          <w:szCs w:val="10"/>
        </w:rPr>
        <w:t>Société d’Installations d’Accessoires pour les Télécommunications</w:t>
      </w:r>
      <w:r w:rsidR="00317416" w:rsidRPr="00364601">
        <w:rPr>
          <w:color w:val="auto"/>
          <w:szCs w:val="10"/>
        </w:rPr>
        <w:t xml:space="preserve"> prendra en charge sept jours sur sept (7/7) et vingt quatre heures sur vingt quatre (24/24) les Défaillances de fonctionnement du Service, (i) sur incident détecté par </w:t>
      </w:r>
      <w:r w:rsidRPr="00364601">
        <w:rPr>
          <w:color w:val="auto"/>
          <w:szCs w:val="10"/>
        </w:rPr>
        <w:t>Société d’Installations d’Accessoires pour les Télécommunications</w:t>
      </w:r>
      <w:r w:rsidR="00317416" w:rsidRPr="00364601">
        <w:rPr>
          <w:color w:val="auto"/>
          <w:szCs w:val="10"/>
        </w:rPr>
        <w:t xml:space="preserve"> ou (ii) le cas échéant signalé par le Client (ci après désignés indistinctement </w:t>
      </w:r>
      <w:r w:rsidR="00317416" w:rsidRPr="00364601">
        <w:rPr>
          <w:b/>
          <w:color w:val="auto"/>
          <w:szCs w:val="10"/>
        </w:rPr>
        <w:t>« la Notification de Défaillance</w:t>
      </w:r>
      <w:r w:rsidR="00317416" w:rsidRPr="00364601">
        <w:rPr>
          <w:color w:val="auto"/>
          <w:szCs w:val="10"/>
        </w:rPr>
        <w:t xml:space="preserve"> ») qui devra apporter sa pleine coopération à </w:t>
      </w:r>
      <w:r w:rsidRPr="00364601">
        <w:rPr>
          <w:color w:val="auto"/>
          <w:szCs w:val="10"/>
        </w:rPr>
        <w:t>Société d’Installations d’Accessoires pour les Télécommunications</w:t>
      </w:r>
      <w:r w:rsidR="00317416" w:rsidRPr="00364601">
        <w:rPr>
          <w:color w:val="auto"/>
          <w:szCs w:val="10"/>
        </w:rPr>
        <w:t xml:space="preserve"> pour déterminer la cause du problème afin de le résoudre. Toute Notification de Défaillance, dans le cas où la Défaillance est signalée par le Client, devra se faire par l’envoi d’un e-mail à l’adresse </w:t>
      </w:r>
      <w:r w:rsidRPr="00364601">
        <w:rPr>
          <w:b/>
          <w:color w:val="auto"/>
        </w:rPr>
        <w:t>contact@siatel.fr, et par téléphone au numéro 02 38 63 2000</w:t>
      </w:r>
      <w:r w:rsidRPr="00364601">
        <w:rPr>
          <w:color w:val="auto"/>
        </w:rPr>
        <w:t xml:space="preserve"> </w:t>
      </w:r>
      <w:r w:rsidR="00317416" w:rsidRPr="00364601">
        <w:rPr>
          <w:color w:val="auto"/>
          <w:szCs w:val="10"/>
        </w:rPr>
        <w:t xml:space="preserve"> ou toute autre adresse ou numéro ultérieurement communiqué au Client par </w:t>
      </w:r>
      <w:r w:rsidRPr="00364601">
        <w:rPr>
          <w:color w:val="auto"/>
          <w:szCs w:val="10"/>
        </w:rPr>
        <w:t>Société d’Installations d’Accessoires pour les Télécommunications</w:t>
      </w:r>
      <w:r w:rsidR="00317416" w:rsidRPr="00364601">
        <w:rPr>
          <w:color w:val="auto"/>
          <w:szCs w:val="10"/>
        </w:rPr>
        <w:t xml:space="preserve">. Le Client se verra remettre un numéro de Notification de Défaillance. En cas de Défaillance, </w:t>
      </w:r>
      <w:r w:rsidRPr="00364601">
        <w:rPr>
          <w:color w:val="auto"/>
          <w:szCs w:val="10"/>
        </w:rPr>
        <w:t>Société d’Installations d’Accessoires pour les Télécommunications</w:t>
      </w:r>
      <w:r w:rsidR="00317416" w:rsidRPr="00364601">
        <w:rPr>
          <w:color w:val="auto"/>
          <w:szCs w:val="10"/>
        </w:rPr>
        <w:t xml:space="preserve"> s’efforcera de réaliser les objectifs de qualité de service suivants (ci-après individuellement désignés « </w:t>
      </w:r>
      <w:r w:rsidR="00317416" w:rsidRPr="00364601">
        <w:rPr>
          <w:b/>
          <w:color w:val="auto"/>
          <w:szCs w:val="10"/>
        </w:rPr>
        <w:t>Objectif de Qualité de Service</w:t>
      </w:r>
      <w:r w:rsidR="00317416" w:rsidRPr="00364601">
        <w:rPr>
          <w:color w:val="auto"/>
          <w:szCs w:val="10"/>
        </w:rPr>
        <w:t xml:space="preserve"> ») :</w:t>
      </w:r>
    </w:p>
    <w:p w:rsidR="00317416" w:rsidRPr="00364601" w:rsidRDefault="00317416" w:rsidP="00317416">
      <w:pPr>
        <w:jc w:val="both"/>
        <w:rPr>
          <w:color w:val="auto"/>
          <w:szCs w:val="10"/>
        </w:rPr>
      </w:pPr>
      <w:r w:rsidRPr="00364601">
        <w:rPr>
          <w:color w:val="auto"/>
          <w:szCs w:val="10"/>
        </w:rPr>
        <w:t xml:space="preserve">Sur un mois, </w:t>
      </w:r>
      <w:r w:rsidR="00482DC1" w:rsidRPr="00364601">
        <w:rPr>
          <w:color w:val="auto"/>
          <w:szCs w:val="10"/>
        </w:rPr>
        <w:t>Société d’Installations d’Accessoires pour les Télécommunications</w:t>
      </w:r>
      <w:r w:rsidRPr="00364601">
        <w:rPr>
          <w:color w:val="auto"/>
          <w:szCs w:val="10"/>
        </w:rPr>
        <w:t xml:space="preserve"> s’efforcera de rendre le Service disponible au moins 99,85% du temps (ci-après désignés « </w:t>
      </w:r>
      <w:r w:rsidRPr="00364601">
        <w:rPr>
          <w:b/>
          <w:color w:val="auto"/>
          <w:szCs w:val="10"/>
        </w:rPr>
        <w:t>Objectif de Disponibilité du Service</w:t>
      </w:r>
      <w:r w:rsidRPr="00364601">
        <w:rPr>
          <w:color w:val="auto"/>
          <w:szCs w:val="10"/>
        </w:rPr>
        <w:t xml:space="preserve"> »), ce temps de disponibilité étant calculé sur la base des Notifications de Défaillance du Client adressé au </w:t>
      </w:r>
      <w:r w:rsidR="00482DC1" w:rsidRPr="00364601">
        <w:rPr>
          <w:color w:val="auto"/>
          <w:szCs w:val="10"/>
        </w:rPr>
        <w:t>Société d’Installations d’Accessoires pour les Télécommunications</w:t>
      </w:r>
      <w:r w:rsidRPr="00364601">
        <w:rPr>
          <w:color w:val="auto"/>
          <w:szCs w:val="10"/>
        </w:rPr>
        <w:t xml:space="preserve"> au cours de la période susmentionnée. Le Client pourra si un Objectif de Disponibilité du Service n’est pas atteint durant un mois, sur demande, bénéficier auprès du </w:t>
      </w:r>
      <w:r w:rsidR="00482DC1" w:rsidRPr="00364601">
        <w:rPr>
          <w:color w:val="auto"/>
          <w:szCs w:val="10"/>
        </w:rPr>
        <w:t>Société d’Installations d’Accessoires pour les Télécommunications</w:t>
      </w:r>
      <w:r w:rsidRPr="00364601">
        <w:rPr>
          <w:color w:val="auto"/>
          <w:szCs w:val="10"/>
        </w:rPr>
        <w:t xml:space="preserve"> d'un avoir égal à un pourcentage : </w:t>
      </w:r>
    </w:p>
    <w:p w:rsidR="00317416" w:rsidRPr="00364601" w:rsidRDefault="00317416" w:rsidP="00317416">
      <w:pPr>
        <w:numPr>
          <w:ilvl w:val="0"/>
          <w:numId w:val="18"/>
        </w:numPr>
        <w:spacing w:before="0" w:after="0"/>
        <w:jc w:val="both"/>
        <w:rPr>
          <w:color w:val="auto"/>
          <w:szCs w:val="10"/>
        </w:rPr>
      </w:pPr>
      <w:r w:rsidRPr="00364601">
        <w:rPr>
          <w:color w:val="auto"/>
          <w:szCs w:val="10"/>
        </w:rPr>
        <w:t xml:space="preserve">des Frais Fixes payables au titre du mois au cours duquel est intervenue la Défaillance </w:t>
      </w:r>
    </w:p>
    <w:p w:rsidR="00317416" w:rsidRPr="00364601" w:rsidRDefault="00317416" w:rsidP="00317416">
      <w:pPr>
        <w:numPr>
          <w:ilvl w:val="0"/>
          <w:numId w:val="18"/>
        </w:numPr>
        <w:spacing w:before="0" w:after="0"/>
        <w:jc w:val="both"/>
        <w:rPr>
          <w:color w:val="auto"/>
          <w:szCs w:val="10"/>
        </w:rPr>
      </w:pPr>
      <w:r w:rsidRPr="00364601">
        <w:rPr>
          <w:color w:val="auto"/>
          <w:szCs w:val="10"/>
        </w:rPr>
        <w:t>et de la moyenne des Frais d’Utilisations payables au titre des trois mois précédents le mois au cours duquel est intervenue la Défaillance et ce,  tel que mentionné dans le tableau ci-dessous :</w:t>
      </w:r>
    </w:p>
    <w:p w:rsidR="00317416" w:rsidRPr="00364601" w:rsidRDefault="00317416" w:rsidP="00317416">
      <w:pPr>
        <w:spacing w:before="0" w:after="0"/>
        <w:jc w:val="both"/>
        <w:rPr>
          <w:color w:val="auto"/>
          <w:szCs w:val="10"/>
        </w:rPr>
      </w:pPr>
    </w:p>
    <w:tbl>
      <w:tblPr>
        <w:tblW w:w="0" w:type="auto"/>
        <w:tblInd w:w="430" w:type="dxa"/>
        <w:tblCellMar>
          <w:left w:w="70" w:type="dxa"/>
          <w:right w:w="70" w:type="dxa"/>
        </w:tblCellMar>
        <w:tblLook w:val="0000"/>
      </w:tblPr>
      <w:tblGrid>
        <w:gridCol w:w="2316"/>
        <w:gridCol w:w="2044"/>
      </w:tblGrid>
      <w:tr w:rsidR="00317416" w:rsidRPr="00364601" w:rsidTr="00317416">
        <w:tc>
          <w:tcPr>
            <w:tcW w:w="2518" w:type="dxa"/>
          </w:tcPr>
          <w:p w:rsidR="00317416" w:rsidRPr="00364601" w:rsidRDefault="00317416" w:rsidP="00317416">
            <w:pPr>
              <w:spacing w:before="0" w:after="0"/>
              <w:jc w:val="both"/>
              <w:rPr>
                <w:b/>
                <w:color w:val="auto"/>
                <w:szCs w:val="10"/>
              </w:rPr>
            </w:pPr>
            <w:r w:rsidRPr="00364601">
              <w:rPr>
                <w:b/>
                <w:color w:val="auto"/>
                <w:szCs w:val="10"/>
              </w:rPr>
              <w:t>Objectif de Disponibilité du Service</w:t>
            </w:r>
          </w:p>
        </w:tc>
        <w:tc>
          <w:tcPr>
            <w:tcW w:w="2238" w:type="dxa"/>
          </w:tcPr>
          <w:p w:rsidR="00317416" w:rsidRPr="00364601" w:rsidRDefault="00317416" w:rsidP="00317416">
            <w:pPr>
              <w:spacing w:before="0" w:after="0"/>
              <w:jc w:val="both"/>
              <w:rPr>
                <w:b/>
                <w:color w:val="auto"/>
                <w:szCs w:val="10"/>
              </w:rPr>
            </w:pPr>
            <w:r w:rsidRPr="00364601">
              <w:rPr>
                <w:b/>
                <w:color w:val="auto"/>
                <w:szCs w:val="10"/>
              </w:rPr>
              <w:t>Montant de l’Avoir</w:t>
            </w:r>
          </w:p>
        </w:tc>
      </w:tr>
      <w:tr w:rsidR="00317416" w:rsidRPr="00364601" w:rsidTr="00317416">
        <w:tc>
          <w:tcPr>
            <w:tcW w:w="2518" w:type="dxa"/>
          </w:tcPr>
          <w:p w:rsidR="00317416" w:rsidRPr="00364601" w:rsidRDefault="00317416" w:rsidP="00317416">
            <w:pPr>
              <w:spacing w:before="0" w:after="0"/>
              <w:jc w:val="both"/>
              <w:rPr>
                <w:color w:val="auto"/>
                <w:szCs w:val="10"/>
              </w:rPr>
            </w:pPr>
            <w:r w:rsidRPr="00364601">
              <w:rPr>
                <w:color w:val="auto"/>
                <w:szCs w:val="10"/>
              </w:rPr>
              <w:t xml:space="preserve">     De 99,85 à 99,5%</w:t>
            </w:r>
          </w:p>
        </w:tc>
        <w:tc>
          <w:tcPr>
            <w:tcW w:w="2238" w:type="dxa"/>
          </w:tcPr>
          <w:p w:rsidR="00317416" w:rsidRPr="00364601" w:rsidRDefault="00317416" w:rsidP="00317416">
            <w:pPr>
              <w:spacing w:before="0" w:after="0"/>
              <w:jc w:val="both"/>
              <w:rPr>
                <w:color w:val="auto"/>
                <w:szCs w:val="10"/>
              </w:rPr>
            </w:pPr>
            <w:r w:rsidRPr="00364601">
              <w:rPr>
                <w:color w:val="auto"/>
                <w:szCs w:val="10"/>
              </w:rPr>
              <w:t>5%</w:t>
            </w:r>
          </w:p>
        </w:tc>
      </w:tr>
      <w:tr w:rsidR="00317416" w:rsidRPr="00364601" w:rsidTr="00317416">
        <w:tc>
          <w:tcPr>
            <w:tcW w:w="2518" w:type="dxa"/>
          </w:tcPr>
          <w:p w:rsidR="00317416" w:rsidRPr="00364601" w:rsidRDefault="00317416" w:rsidP="00317416">
            <w:pPr>
              <w:spacing w:before="0" w:after="0"/>
              <w:jc w:val="both"/>
              <w:rPr>
                <w:color w:val="auto"/>
                <w:szCs w:val="10"/>
              </w:rPr>
            </w:pPr>
            <w:r w:rsidRPr="00364601">
              <w:rPr>
                <w:color w:val="auto"/>
                <w:szCs w:val="10"/>
              </w:rPr>
              <w:t xml:space="preserve">     De 99,5 à 97%</w:t>
            </w:r>
          </w:p>
        </w:tc>
        <w:tc>
          <w:tcPr>
            <w:tcW w:w="2238" w:type="dxa"/>
          </w:tcPr>
          <w:p w:rsidR="00317416" w:rsidRPr="00364601" w:rsidRDefault="00317416" w:rsidP="00317416">
            <w:pPr>
              <w:spacing w:before="0" w:after="0"/>
              <w:jc w:val="both"/>
              <w:rPr>
                <w:color w:val="auto"/>
                <w:szCs w:val="10"/>
              </w:rPr>
            </w:pPr>
            <w:r w:rsidRPr="00364601">
              <w:rPr>
                <w:color w:val="auto"/>
                <w:szCs w:val="10"/>
              </w:rPr>
              <w:t>10%</w:t>
            </w:r>
          </w:p>
        </w:tc>
      </w:tr>
      <w:tr w:rsidR="00317416" w:rsidRPr="00364601" w:rsidTr="00317416">
        <w:tc>
          <w:tcPr>
            <w:tcW w:w="2518" w:type="dxa"/>
          </w:tcPr>
          <w:p w:rsidR="00317416" w:rsidRPr="00364601" w:rsidRDefault="00317416" w:rsidP="00317416">
            <w:pPr>
              <w:spacing w:before="0" w:after="0"/>
              <w:jc w:val="both"/>
              <w:rPr>
                <w:color w:val="auto"/>
                <w:szCs w:val="10"/>
              </w:rPr>
            </w:pPr>
            <w:r w:rsidRPr="00364601">
              <w:rPr>
                <w:color w:val="auto"/>
                <w:szCs w:val="10"/>
              </w:rPr>
              <w:t xml:space="preserve">     Moins de 97%</w:t>
            </w:r>
          </w:p>
        </w:tc>
        <w:tc>
          <w:tcPr>
            <w:tcW w:w="2238" w:type="dxa"/>
          </w:tcPr>
          <w:p w:rsidR="00317416" w:rsidRPr="00364601" w:rsidRDefault="00317416" w:rsidP="00317416">
            <w:pPr>
              <w:spacing w:before="0" w:after="0"/>
              <w:jc w:val="both"/>
              <w:rPr>
                <w:color w:val="auto"/>
                <w:szCs w:val="10"/>
              </w:rPr>
            </w:pPr>
            <w:r w:rsidRPr="00364601">
              <w:rPr>
                <w:color w:val="auto"/>
                <w:szCs w:val="10"/>
              </w:rPr>
              <w:t>20%</w:t>
            </w:r>
          </w:p>
          <w:p w:rsidR="00317416" w:rsidRPr="00364601" w:rsidRDefault="00317416" w:rsidP="00317416">
            <w:pPr>
              <w:spacing w:before="0" w:after="0"/>
              <w:jc w:val="both"/>
              <w:rPr>
                <w:color w:val="auto"/>
                <w:szCs w:val="10"/>
              </w:rPr>
            </w:pPr>
          </w:p>
        </w:tc>
      </w:tr>
    </w:tbl>
    <w:p w:rsidR="00317416" w:rsidRPr="00364601" w:rsidRDefault="00482DC1" w:rsidP="00317416">
      <w:pPr>
        <w:jc w:val="both"/>
        <w:rPr>
          <w:color w:val="auto"/>
          <w:szCs w:val="10"/>
        </w:rPr>
      </w:pPr>
      <w:r w:rsidRPr="00364601">
        <w:rPr>
          <w:color w:val="auto"/>
          <w:szCs w:val="10"/>
        </w:rPr>
        <w:t>Société d’Installations d’Accessoires pour les Télécommunications</w:t>
      </w:r>
      <w:r w:rsidR="00317416" w:rsidRPr="00364601">
        <w:rPr>
          <w:color w:val="auto"/>
          <w:szCs w:val="10"/>
        </w:rPr>
        <w:t xml:space="preserve"> s’efforcera de corriger tout problème ayant causé une Défaillance du Service dans le délai de quatre (4) heures à compter de la réception d’une Notification de Défaillance et de remplacer tout Equipement défaillant mis à disposition du Client ou vendu au Client (si la période de garantie est toujours en cours) dans les quarante huit (48) heures à compter de la constatation par </w:t>
      </w:r>
      <w:r w:rsidRPr="00364601">
        <w:rPr>
          <w:color w:val="auto"/>
          <w:szCs w:val="10"/>
        </w:rPr>
        <w:t>Société d’Installations d’Accessoires pour les Télécommunications</w:t>
      </w:r>
      <w:r w:rsidR="00317416" w:rsidRPr="00364601">
        <w:rPr>
          <w:color w:val="auto"/>
          <w:szCs w:val="10"/>
        </w:rPr>
        <w:t xml:space="preserve"> de la défaillance de l’Equipement (ci-après désignés « </w:t>
      </w:r>
      <w:r w:rsidR="00317416" w:rsidRPr="00364601">
        <w:rPr>
          <w:b/>
          <w:color w:val="auto"/>
          <w:szCs w:val="10"/>
        </w:rPr>
        <w:t>Objectif de Rétablissement du Service</w:t>
      </w:r>
      <w:r w:rsidR="00317416" w:rsidRPr="00364601">
        <w:rPr>
          <w:color w:val="auto"/>
          <w:szCs w:val="10"/>
        </w:rPr>
        <w:t xml:space="preserve"> »). Aucune pénalité ne sera due par </w:t>
      </w:r>
      <w:r w:rsidRPr="00364601">
        <w:rPr>
          <w:color w:val="auto"/>
          <w:szCs w:val="10"/>
        </w:rPr>
        <w:t>Société d’Installations d’Accessoires pour les Télécommunications</w:t>
      </w:r>
      <w:r w:rsidR="00317416" w:rsidRPr="00364601">
        <w:rPr>
          <w:color w:val="auto"/>
          <w:szCs w:val="10"/>
        </w:rPr>
        <w:t xml:space="preserve"> si l’Objectif de Rétablissement du Service n’est pas atteint.</w:t>
      </w:r>
    </w:p>
    <w:p w:rsidR="00317416" w:rsidRPr="00364601" w:rsidRDefault="00317416" w:rsidP="00317416">
      <w:pPr>
        <w:jc w:val="both"/>
        <w:rPr>
          <w:color w:val="auto"/>
          <w:szCs w:val="10"/>
        </w:rPr>
      </w:pPr>
      <w:r w:rsidRPr="00364601">
        <w:rPr>
          <w:color w:val="auto"/>
          <w:szCs w:val="10"/>
        </w:rPr>
        <w:t>Les pénalités libératoires mentionnées aux articles 4.2 et 4.3 ci-dessus ne s'appliquent pas, et aucun avoir ne sera émis, pour la période au cours de laquelle le Service fait l’objet d’une Défaillance en raison de l'une des causes suivantes (ci-après individuellement désignés un « </w:t>
      </w:r>
      <w:r w:rsidRPr="00364601">
        <w:rPr>
          <w:b/>
          <w:color w:val="auto"/>
          <w:szCs w:val="10"/>
        </w:rPr>
        <w:t>Evénement Excusable</w:t>
      </w:r>
      <w:r w:rsidRPr="00364601">
        <w:rPr>
          <w:color w:val="auto"/>
          <w:szCs w:val="10"/>
        </w:rPr>
        <w:t xml:space="preserve"> ») : (i) un équipement ou un service non fourni par </w:t>
      </w:r>
      <w:r w:rsidR="00482DC1" w:rsidRPr="00364601">
        <w:rPr>
          <w:color w:val="auto"/>
          <w:szCs w:val="10"/>
        </w:rPr>
        <w:t>Société d’Installations d’Accessoires pour les Télécommunications</w:t>
      </w:r>
      <w:r w:rsidRPr="00364601">
        <w:rPr>
          <w:color w:val="auto"/>
          <w:szCs w:val="10"/>
        </w:rPr>
        <w:t xml:space="preserve"> (ii) les actes ou omissions du Client (iii) une maintenance planifiée (iv) un trafic du réseau qui excède la capacité du Service (v) les actes ou omissions de France Télécom ou de tout autre opérateur de télécommunication (vi) l'indisponibilité du Client, ou autre manquement de celui-ci, à coopérer raisonnablement avec </w:t>
      </w:r>
      <w:r w:rsidR="00482DC1" w:rsidRPr="00364601">
        <w:rPr>
          <w:color w:val="auto"/>
          <w:szCs w:val="10"/>
        </w:rPr>
        <w:t>Société d’Installations d’Accessoires pour les Télécommunications</w:t>
      </w:r>
      <w:r w:rsidRPr="00364601">
        <w:rPr>
          <w:color w:val="auto"/>
          <w:szCs w:val="10"/>
        </w:rPr>
        <w:t xml:space="preserve"> afin de rétablir le Service.</w:t>
      </w:r>
    </w:p>
    <w:p w:rsidR="00317416" w:rsidRPr="00364601" w:rsidRDefault="00317416" w:rsidP="00317416">
      <w:pPr>
        <w:jc w:val="both"/>
        <w:rPr>
          <w:color w:val="auto"/>
          <w:szCs w:val="10"/>
        </w:rPr>
      </w:pPr>
      <w:r w:rsidRPr="00364601">
        <w:rPr>
          <w:color w:val="auto"/>
          <w:szCs w:val="10"/>
        </w:rPr>
        <w:t xml:space="preserve">L'émission par </w:t>
      </w:r>
      <w:r w:rsidR="00482DC1" w:rsidRPr="00364601">
        <w:rPr>
          <w:color w:val="auto"/>
          <w:szCs w:val="10"/>
        </w:rPr>
        <w:t>Société d’Installations d’Accessoires pour les Télécommunications</w:t>
      </w:r>
      <w:r w:rsidRPr="00364601">
        <w:rPr>
          <w:color w:val="auto"/>
          <w:szCs w:val="10"/>
        </w:rPr>
        <w:t xml:space="preserve"> d'avoirs est soumise aux limites suivantes :</w:t>
      </w:r>
    </w:p>
    <w:p w:rsidR="00317416" w:rsidRPr="00364601" w:rsidRDefault="00317416" w:rsidP="00317416">
      <w:pPr>
        <w:numPr>
          <w:ilvl w:val="0"/>
          <w:numId w:val="19"/>
        </w:numPr>
        <w:spacing w:before="0" w:after="0"/>
        <w:jc w:val="both"/>
        <w:rPr>
          <w:color w:val="auto"/>
          <w:szCs w:val="10"/>
        </w:rPr>
      </w:pPr>
      <w:r w:rsidRPr="00364601">
        <w:rPr>
          <w:color w:val="auto"/>
          <w:szCs w:val="10"/>
        </w:rPr>
        <w:t>le montant d'avoirs pour Objectif de Qualité de Service émis sur toute période de 30 jours consécutifs sera plafonné à 20% des Frais Fixes et des Frais d’Utilisation mensuels dus au titre du Service défaillant;</w:t>
      </w:r>
    </w:p>
    <w:p w:rsidR="00317416" w:rsidRPr="00364601" w:rsidRDefault="00317416" w:rsidP="00317416">
      <w:pPr>
        <w:numPr>
          <w:ilvl w:val="0"/>
          <w:numId w:val="19"/>
        </w:numPr>
        <w:spacing w:before="0" w:after="0"/>
        <w:jc w:val="both"/>
        <w:rPr>
          <w:color w:val="auto"/>
          <w:szCs w:val="10"/>
        </w:rPr>
      </w:pPr>
      <w:r w:rsidRPr="00364601">
        <w:rPr>
          <w:color w:val="auto"/>
          <w:szCs w:val="10"/>
        </w:rPr>
        <w:t>les avoirs résiduels ne seront pas reportés à des périodes ultérieures.</w:t>
      </w:r>
    </w:p>
    <w:p w:rsidR="00317416" w:rsidRPr="00364601" w:rsidRDefault="00317416" w:rsidP="00D61F8B">
      <w:pPr>
        <w:spacing w:before="240"/>
        <w:jc w:val="both"/>
        <w:rPr>
          <w:b/>
          <w:color w:val="auto"/>
          <w:sz w:val="12"/>
          <w:szCs w:val="12"/>
        </w:rPr>
      </w:pPr>
      <w:r w:rsidRPr="00364601">
        <w:rPr>
          <w:b/>
          <w:color w:val="auto"/>
          <w:sz w:val="12"/>
          <w:szCs w:val="12"/>
        </w:rPr>
        <w:t>5</w:t>
      </w:r>
      <w:r w:rsidR="00D90821" w:rsidRPr="00364601">
        <w:rPr>
          <w:b/>
          <w:color w:val="auto"/>
          <w:sz w:val="12"/>
          <w:szCs w:val="12"/>
        </w:rPr>
        <w:t>. DUREE</w:t>
      </w:r>
    </w:p>
    <w:p w:rsidR="00E17E45" w:rsidRPr="00364601" w:rsidRDefault="00E17E45" w:rsidP="00E17E45">
      <w:pPr>
        <w:jc w:val="both"/>
        <w:rPr>
          <w:color w:val="auto"/>
          <w:szCs w:val="10"/>
        </w:rPr>
      </w:pPr>
      <w:r w:rsidRPr="00364601">
        <w:rPr>
          <w:color w:val="auto"/>
          <w:szCs w:val="10"/>
        </w:rPr>
        <w:t>La Période Initiale du Service fourni commencera à compter de la Date de Mise en Service. Les Périodes de Reconduction consisteront en des périodes successives d'un an et commenceront le jour suivant la fin de la Période Initiale.</w:t>
      </w:r>
    </w:p>
    <w:p w:rsidR="00E17E45" w:rsidRPr="00364601" w:rsidRDefault="00E17E45" w:rsidP="00E17E45">
      <w:pPr>
        <w:jc w:val="both"/>
        <w:rPr>
          <w:color w:val="auto"/>
          <w:szCs w:val="10"/>
        </w:rPr>
      </w:pPr>
      <w:r w:rsidRPr="00364601">
        <w:rPr>
          <w:color w:val="auto"/>
          <w:szCs w:val="10"/>
        </w:rPr>
        <w:t>Le montant des Frais de Résiliation Anticipée pour un Site Client sera calculé comme suivant :</w:t>
      </w:r>
    </w:p>
    <w:p w:rsidR="00E17E45" w:rsidRPr="00364601" w:rsidRDefault="00E17E45" w:rsidP="00E17E45">
      <w:pPr>
        <w:jc w:val="both"/>
        <w:rPr>
          <w:color w:val="auto"/>
          <w:szCs w:val="10"/>
        </w:rPr>
      </w:pPr>
      <w:proofErr w:type="gramStart"/>
      <w:r w:rsidRPr="00364601">
        <w:rPr>
          <w:color w:val="auto"/>
          <w:szCs w:val="10"/>
        </w:rPr>
        <w:t>soit</w:t>
      </w:r>
      <w:proofErr w:type="gramEnd"/>
      <w:r w:rsidRPr="00364601">
        <w:rPr>
          <w:color w:val="auto"/>
          <w:szCs w:val="10"/>
        </w:rPr>
        <w:t xml:space="preserve"> à la somme des montants suivants, lorsque la résiliation prend effet pendant la Période Initiale :</w:t>
      </w:r>
    </w:p>
    <w:p w:rsidR="00E17E45" w:rsidRPr="00364601" w:rsidRDefault="00E17E45" w:rsidP="003610F8">
      <w:pPr>
        <w:numPr>
          <w:ilvl w:val="0"/>
          <w:numId w:val="20"/>
        </w:numPr>
        <w:spacing w:before="0" w:after="0"/>
        <w:ind w:left="720"/>
        <w:jc w:val="both"/>
        <w:rPr>
          <w:color w:val="auto"/>
          <w:szCs w:val="10"/>
        </w:rPr>
      </w:pPr>
      <w:r w:rsidRPr="00364601">
        <w:rPr>
          <w:color w:val="auto"/>
          <w:szCs w:val="10"/>
        </w:rPr>
        <w:t xml:space="preserve">le nombre de mois restants dans la Période Initiale multiplié par 100% des Frais Fixes mensuels payables au titre du Service fourni sur ledit Site Client ; </w:t>
      </w:r>
    </w:p>
    <w:p w:rsidR="00E17E45" w:rsidRPr="00364601" w:rsidRDefault="00E17E45" w:rsidP="00E17E45">
      <w:pPr>
        <w:numPr>
          <w:ilvl w:val="0"/>
          <w:numId w:val="20"/>
        </w:numPr>
        <w:spacing w:before="0" w:after="0"/>
        <w:ind w:left="720"/>
        <w:jc w:val="both"/>
        <w:rPr>
          <w:color w:val="auto"/>
          <w:szCs w:val="10"/>
        </w:rPr>
      </w:pPr>
      <w:r w:rsidRPr="00364601">
        <w:rPr>
          <w:color w:val="auto"/>
          <w:szCs w:val="10"/>
        </w:rPr>
        <w:t xml:space="preserve">S’il est spécifié, le montant indiqué dans le Bon de Commande </w:t>
      </w:r>
      <w:r w:rsidR="00482DC1" w:rsidRPr="00364601">
        <w:rPr>
          <w:color w:val="auto"/>
          <w:szCs w:val="10"/>
        </w:rPr>
        <w:t>Société d’Installations d’Accessoires pour les Télécommunications</w:t>
      </w:r>
      <w:r w:rsidRPr="00364601">
        <w:rPr>
          <w:color w:val="auto"/>
          <w:szCs w:val="10"/>
        </w:rPr>
        <w:t xml:space="preserve"> sera appliqué</w:t>
      </w:r>
      <w:proofErr w:type="gramStart"/>
      <w:r w:rsidRPr="00364601">
        <w:rPr>
          <w:color w:val="auto"/>
          <w:szCs w:val="10"/>
        </w:rPr>
        <w:t>..</w:t>
      </w:r>
      <w:proofErr w:type="gramEnd"/>
      <w:r w:rsidRPr="00364601">
        <w:rPr>
          <w:color w:val="auto"/>
          <w:szCs w:val="10"/>
        </w:rPr>
        <w:t xml:space="preserve">  </w:t>
      </w:r>
    </w:p>
    <w:p w:rsidR="00D90821" w:rsidRPr="00364601" w:rsidRDefault="00317416" w:rsidP="00257C6E">
      <w:pPr>
        <w:spacing w:before="240"/>
        <w:jc w:val="both"/>
        <w:rPr>
          <w:b/>
          <w:color w:val="auto"/>
          <w:sz w:val="12"/>
          <w:szCs w:val="12"/>
        </w:rPr>
      </w:pPr>
      <w:r w:rsidRPr="00364601">
        <w:rPr>
          <w:b/>
          <w:color w:val="auto"/>
          <w:sz w:val="12"/>
          <w:szCs w:val="12"/>
        </w:rPr>
        <w:t>6</w:t>
      </w:r>
      <w:r w:rsidR="00D90821" w:rsidRPr="00364601">
        <w:rPr>
          <w:b/>
          <w:color w:val="auto"/>
          <w:sz w:val="12"/>
          <w:szCs w:val="12"/>
        </w:rPr>
        <w:t xml:space="preserve">. </w:t>
      </w:r>
      <w:r w:rsidR="00EB2C40" w:rsidRPr="00364601">
        <w:rPr>
          <w:b/>
          <w:color w:val="auto"/>
          <w:sz w:val="12"/>
          <w:szCs w:val="12"/>
        </w:rPr>
        <w:t>TARIFS ET COÛTS</w:t>
      </w:r>
    </w:p>
    <w:p w:rsidR="00E17E45" w:rsidRPr="00364601" w:rsidRDefault="00E17E45" w:rsidP="00E17E45">
      <w:pPr>
        <w:jc w:val="both"/>
        <w:rPr>
          <w:color w:val="auto"/>
          <w:szCs w:val="10"/>
        </w:rPr>
      </w:pPr>
      <w:r w:rsidRPr="00364601">
        <w:rPr>
          <w:color w:val="auto"/>
          <w:szCs w:val="10"/>
        </w:rPr>
        <w:t>En contrepartie de la fourniture des Services par le Prestataire, le Client devra lui payer les redevances et frais suivants :</w:t>
      </w:r>
    </w:p>
    <w:p w:rsidR="00E17E45" w:rsidRPr="00364601" w:rsidRDefault="00E17E45" w:rsidP="00E17E45">
      <w:pPr>
        <w:pStyle w:val="Paragraphedeliste"/>
        <w:jc w:val="both"/>
        <w:rPr>
          <w:color w:val="auto"/>
          <w:szCs w:val="10"/>
        </w:rPr>
      </w:pPr>
      <w:r w:rsidRPr="00364601">
        <w:rPr>
          <w:color w:val="auto"/>
          <w:szCs w:val="10"/>
        </w:rPr>
        <w:t xml:space="preserve">Les Frais Initiaux ; </w:t>
      </w:r>
    </w:p>
    <w:p w:rsidR="00E17E45" w:rsidRPr="00364601" w:rsidRDefault="00E17E45" w:rsidP="00E17E45">
      <w:pPr>
        <w:pStyle w:val="Paragraphedeliste"/>
        <w:jc w:val="both"/>
        <w:rPr>
          <w:color w:val="auto"/>
          <w:szCs w:val="10"/>
        </w:rPr>
      </w:pPr>
      <w:r w:rsidRPr="00364601">
        <w:rPr>
          <w:color w:val="auto"/>
          <w:szCs w:val="10"/>
        </w:rPr>
        <w:t xml:space="preserve">Les Redevances Mensuelles ; </w:t>
      </w:r>
    </w:p>
    <w:p w:rsidR="00317416" w:rsidRPr="00364601" w:rsidRDefault="00317416" w:rsidP="00462BC2">
      <w:pPr>
        <w:pStyle w:val="Titre"/>
        <w:numPr>
          <w:ilvl w:val="0"/>
          <w:numId w:val="25"/>
        </w:numPr>
        <w:spacing w:before="240" w:after="120"/>
        <w:ind w:left="142" w:hanging="142"/>
        <w:rPr>
          <w:rFonts w:eastAsia="Calibri" w:cs="Arial"/>
          <w:bCs w:val="0"/>
          <w:sz w:val="12"/>
          <w:szCs w:val="12"/>
          <w:lang w:eastAsia="en-US"/>
        </w:rPr>
      </w:pPr>
      <w:r w:rsidRPr="00364601">
        <w:rPr>
          <w:rFonts w:eastAsia="Calibri" w:cs="Arial"/>
          <w:bCs w:val="0"/>
          <w:sz w:val="12"/>
          <w:szCs w:val="12"/>
          <w:lang w:eastAsia="en-US"/>
        </w:rPr>
        <w:t xml:space="preserve">CONDITIONS </w:t>
      </w:r>
      <w:r w:rsidR="00E17E45" w:rsidRPr="00364601">
        <w:rPr>
          <w:rFonts w:eastAsia="Calibri" w:cs="Arial"/>
          <w:bCs w:val="0"/>
          <w:sz w:val="12"/>
          <w:szCs w:val="12"/>
          <w:lang w:eastAsia="en-US"/>
        </w:rPr>
        <w:t>SUPPLEMENTAIRES</w:t>
      </w:r>
    </w:p>
    <w:p w:rsidR="00E17E45" w:rsidRDefault="00E17E45" w:rsidP="00E17E45">
      <w:pPr>
        <w:jc w:val="both"/>
        <w:rPr>
          <w:color w:val="auto"/>
          <w:szCs w:val="10"/>
        </w:rPr>
      </w:pPr>
      <w:r w:rsidRPr="00364601">
        <w:rPr>
          <w:color w:val="auto"/>
          <w:szCs w:val="10"/>
        </w:rPr>
        <w:t xml:space="preserve">Le Client sera exclusivement responsable d'un Code d'Accès et de toute utilisation du Service avec son Code d’Accès. Le Client notifiera immédiatement à </w:t>
      </w:r>
      <w:r w:rsidR="00482DC1" w:rsidRPr="00364601">
        <w:rPr>
          <w:color w:val="auto"/>
          <w:szCs w:val="10"/>
        </w:rPr>
        <w:t>Société d’Installations d’Accessoires pour les Télécommunications</w:t>
      </w:r>
      <w:r w:rsidRPr="00364601">
        <w:rPr>
          <w:color w:val="auto"/>
          <w:szCs w:val="10"/>
        </w:rPr>
        <w:t xml:space="preserve"> la perte, le vol d'un Code d'Accès ou du fait qu’il a des raisons de croire qu'un Code d'Accès a été découvert. S’il estime que cela est nécessaire, </w:t>
      </w:r>
      <w:r w:rsidR="00482DC1" w:rsidRPr="00364601">
        <w:rPr>
          <w:color w:val="auto"/>
          <w:szCs w:val="10"/>
        </w:rPr>
        <w:t>Société d’Installations d’Accessoires pour les Télécommunications</w:t>
      </w:r>
      <w:r w:rsidRPr="00364601">
        <w:rPr>
          <w:color w:val="auto"/>
          <w:szCs w:val="10"/>
        </w:rPr>
        <w:t xml:space="preserve"> pourra désactiver et remplacer immédiatement un Code d'Accès (ou demander au Client d’en choisir un nouveau).</w:t>
      </w:r>
    </w:p>
    <w:p w:rsidR="00364601" w:rsidRDefault="00364601" w:rsidP="00E17E45">
      <w:pPr>
        <w:jc w:val="both"/>
        <w:rPr>
          <w:color w:val="auto"/>
          <w:szCs w:val="10"/>
        </w:rPr>
      </w:pPr>
    </w:p>
    <w:p w:rsidR="00364601" w:rsidRDefault="00364601" w:rsidP="00E17E45">
      <w:pPr>
        <w:jc w:val="both"/>
        <w:rPr>
          <w:color w:val="auto"/>
          <w:szCs w:val="10"/>
        </w:rPr>
      </w:pPr>
    </w:p>
    <w:p w:rsidR="00364601" w:rsidRPr="00364601" w:rsidRDefault="00364601" w:rsidP="00E17E45">
      <w:pPr>
        <w:jc w:val="both"/>
        <w:rPr>
          <w:color w:val="auto"/>
          <w:szCs w:val="10"/>
        </w:rPr>
      </w:pPr>
    </w:p>
    <w:p w:rsidR="00257C6E" w:rsidRPr="00364601" w:rsidRDefault="00257C6E" w:rsidP="00E17E45">
      <w:pPr>
        <w:ind w:right="180"/>
        <w:rPr>
          <w:color w:val="auto"/>
          <w:szCs w:val="10"/>
        </w:rPr>
      </w:pPr>
    </w:p>
    <w:sectPr w:rsidR="00257C6E" w:rsidRPr="00364601" w:rsidSect="00257C6E">
      <w:type w:val="continuous"/>
      <w:pgSz w:w="11906" w:h="16838" w:code="9"/>
      <w:pgMar w:top="1532" w:right="737" w:bottom="340" w:left="737" w:header="284" w:footer="193" w:gutter="0"/>
      <w:cols w:num="2" w:space="11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A9" w:rsidRDefault="000132A9" w:rsidP="005D599E">
      <w:r>
        <w:separator/>
      </w:r>
    </w:p>
  </w:endnote>
  <w:endnote w:type="continuationSeparator" w:id="0">
    <w:p w:rsidR="000132A9" w:rsidRDefault="000132A9" w:rsidP="005D5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07" w:type="dxa"/>
      <w:tblInd w:w="-459" w:type="dxa"/>
      <w:tblLook w:val="04A0"/>
    </w:tblPr>
    <w:tblGrid>
      <w:gridCol w:w="12123"/>
      <w:gridCol w:w="222"/>
    </w:tblGrid>
    <w:tr w:rsidR="00066DEA" w:rsidRPr="000B2A07" w:rsidTr="000B2A07">
      <w:tc>
        <w:tcPr>
          <w:tcW w:w="8188" w:type="dxa"/>
        </w:tcPr>
        <w:tbl>
          <w:tblPr>
            <w:tblStyle w:val="Grilledutableau"/>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3719"/>
          </w:tblGrid>
          <w:tr w:rsidR="00364601" w:rsidRPr="00364601" w:rsidTr="0032547B">
            <w:tc>
              <w:tcPr>
                <w:tcW w:w="8188" w:type="dxa"/>
              </w:tcPr>
              <w:p w:rsidR="00364601" w:rsidRPr="00364601" w:rsidRDefault="00364601" w:rsidP="00364601">
                <w:pPr>
                  <w:tabs>
                    <w:tab w:val="center" w:pos="4536"/>
                    <w:tab w:val="right" w:pos="9072"/>
                  </w:tabs>
                  <w:spacing w:before="0" w:after="0"/>
                  <w:jc w:val="center"/>
                  <w:rPr>
                    <w:iCs/>
                  </w:rPr>
                </w:pPr>
                <w:r w:rsidRPr="00364601">
                  <w:drawing>
                    <wp:inline distT="0" distB="0" distL="0" distR="0">
                      <wp:extent cx="355572" cy="202129"/>
                      <wp:effectExtent l="19050" t="0" r="6378" b="0"/>
                      <wp:docPr id="1" name="Image 0" descr="Logo Green-C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Coms.jpg"/>
                              <pic:cNvPicPr/>
                            </pic:nvPicPr>
                            <pic:blipFill>
                              <a:blip r:embed="rId1"/>
                              <a:stretch>
                                <a:fillRect/>
                              </a:stretch>
                            </pic:blipFill>
                            <pic:spPr>
                              <a:xfrm>
                                <a:off x="0" y="0"/>
                                <a:ext cx="355572" cy="202129"/>
                              </a:xfrm>
                              <a:prstGeom prst="rect">
                                <a:avLst/>
                              </a:prstGeom>
                            </pic:spPr>
                          </pic:pic>
                        </a:graphicData>
                      </a:graphic>
                    </wp:inline>
                  </w:drawing>
                </w:r>
                <w:r w:rsidRPr="00364601">
                  <w:rPr>
                    <w:color w:val="auto"/>
                    <w:szCs w:val="10"/>
                  </w:rPr>
                  <w:t xml:space="preserve">est un Service de la  </w:t>
                </w:r>
                <w:r w:rsidRPr="00364601">
                  <w:rPr>
                    <w:bCs/>
                    <w:color w:val="auto"/>
                  </w:rPr>
                  <w:t xml:space="preserve">Société d'Installations d’Accessoires pour les Télécommunications          2014-08-25               </w:t>
                </w:r>
              </w:p>
            </w:tc>
            <w:tc>
              <w:tcPr>
                <w:tcW w:w="3719" w:type="dxa"/>
              </w:tcPr>
              <w:p w:rsidR="00364601" w:rsidRPr="00364601" w:rsidRDefault="00364601" w:rsidP="00364601">
                <w:pPr>
                  <w:spacing w:before="0" w:after="0"/>
                  <w:jc w:val="right"/>
                  <w:rPr>
                    <w:sz w:val="14"/>
                  </w:rPr>
                </w:pPr>
              </w:p>
            </w:tc>
          </w:tr>
        </w:tbl>
        <w:p w:rsidR="00066DEA" w:rsidRPr="000B2A07" w:rsidRDefault="00066DEA" w:rsidP="00364601">
          <w:pPr>
            <w:pStyle w:val="textepieddepage"/>
            <w:tabs>
              <w:tab w:val="left" w:pos="1058"/>
            </w:tabs>
            <w:ind w:left="0" w:right="-3827"/>
            <w:rPr>
              <w:rStyle w:val="Numrodepage"/>
              <w:iCs w:val="0"/>
              <w:sz w:val="10"/>
              <w:szCs w:val="10"/>
            </w:rPr>
          </w:pPr>
        </w:p>
      </w:tc>
      <w:tc>
        <w:tcPr>
          <w:tcW w:w="3719" w:type="dxa"/>
        </w:tcPr>
        <w:p w:rsidR="00066DEA" w:rsidRPr="000B2A07" w:rsidRDefault="00066DEA" w:rsidP="000B2A07">
          <w:pPr>
            <w:pStyle w:val="textepieddepage"/>
            <w:ind w:left="0" w:right="0"/>
            <w:jc w:val="right"/>
            <w:rPr>
              <w:rStyle w:val="Numrodepage"/>
              <w:iCs w:val="0"/>
            </w:rPr>
          </w:pPr>
        </w:p>
      </w:tc>
    </w:tr>
  </w:tbl>
  <w:p w:rsidR="00066DEA" w:rsidRPr="00FC7AA8" w:rsidRDefault="00066DEA" w:rsidP="005D59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A9" w:rsidRDefault="000132A9" w:rsidP="005D599E">
      <w:r>
        <w:separator/>
      </w:r>
    </w:p>
  </w:footnote>
  <w:footnote w:type="continuationSeparator" w:id="0">
    <w:p w:rsidR="000132A9" w:rsidRDefault="000132A9" w:rsidP="005D5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17D"/>
    <w:multiLevelType w:val="hybridMultilevel"/>
    <w:tmpl w:val="A20E5E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2F27E2"/>
    <w:multiLevelType w:val="hybridMultilevel"/>
    <w:tmpl w:val="56A467D2"/>
    <w:lvl w:ilvl="0" w:tplc="854C2742">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7F78E9"/>
    <w:multiLevelType w:val="hybridMultilevel"/>
    <w:tmpl w:val="5EBCD65C"/>
    <w:lvl w:ilvl="0" w:tplc="040C0017">
      <w:start w:val="1"/>
      <w:numFmt w:val="lowerLetter"/>
      <w:lvlText w:val="%1)"/>
      <w:lvlJc w:val="left"/>
      <w:pPr>
        <w:ind w:left="1285" w:hanging="360"/>
      </w:pPr>
      <w:rPr>
        <w:rFont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
    <w:nsid w:val="0FE74F7D"/>
    <w:multiLevelType w:val="multilevel"/>
    <w:tmpl w:val="995002DC"/>
    <w:lvl w:ilvl="0">
      <w:start w:val="1"/>
      <w:numFmt w:val="decimal"/>
      <w:pStyle w:val="Level1"/>
      <w:lvlText w:val="%1."/>
      <w:lvlJc w:val="left"/>
      <w:pPr>
        <w:tabs>
          <w:tab w:val="num" w:pos="709"/>
        </w:tabs>
        <w:ind w:left="709" w:hanging="709"/>
      </w:pPr>
      <w:rPr>
        <w:b w:val="0"/>
        <w:i w:val="0"/>
        <w:u w:val="none"/>
      </w:rPr>
    </w:lvl>
    <w:lvl w:ilvl="1">
      <w:start w:val="1"/>
      <w:numFmt w:val="decimal"/>
      <w:pStyle w:val="Level2"/>
      <w:isLgl/>
      <w:lvlText w:val="%1.%2"/>
      <w:lvlJc w:val="left"/>
      <w:pPr>
        <w:tabs>
          <w:tab w:val="num" w:pos="709"/>
        </w:tabs>
        <w:ind w:left="709" w:hanging="709"/>
      </w:pPr>
      <w:rPr>
        <w:b w:val="0"/>
        <w:i w:val="0"/>
        <w:u w:val="none"/>
      </w:rPr>
    </w:lvl>
    <w:lvl w:ilvl="2">
      <w:start w:val="1"/>
      <w:numFmt w:val="lowerLetter"/>
      <w:pStyle w:val="Level3"/>
      <w:lvlText w:val="(%3)"/>
      <w:lvlJc w:val="left"/>
      <w:pPr>
        <w:tabs>
          <w:tab w:val="num" w:pos="1418"/>
        </w:tabs>
        <w:ind w:left="1418" w:hanging="709"/>
      </w:pPr>
      <w:rPr>
        <w:b w:val="0"/>
        <w:i w:val="0"/>
        <w:u w:val="none"/>
      </w:rPr>
    </w:lvl>
    <w:lvl w:ilvl="3">
      <w:start w:val="1"/>
      <w:numFmt w:val="lowerRoman"/>
      <w:pStyle w:val="Level4"/>
      <w:lvlText w:val="(%4)"/>
      <w:lvlJc w:val="left"/>
      <w:pPr>
        <w:tabs>
          <w:tab w:val="num" w:pos="2126"/>
        </w:tabs>
        <w:ind w:left="2126" w:hanging="708"/>
      </w:pPr>
      <w:rPr>
        <w:b w:val="0"/>
        <w:i w:val="0"/>
        <w:u w:val="none"/>
      </w:rPr>
    </w:lvl>
    <w:lvl w:ilvl="4">
      <w:start w:val="27"/>
      <w:numFmt w:val="lowerLetter"/>
      <w:pStyle w:val="Level5"/>
      <w:lvlText w:val="(%5)"/>
      <w:lvlJc w:val="left"/>
      <w:pPr>
        <w:tabs>
          <w:tab w:val="num" w:pos="2835"/>
        </w:tabs>
        <w:ind w:left="2835" w:hanging="709"/>
      </w:pPr>
      <w:rPr>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
    <w:nsid w:val="136E0E38"/>
    <w:multiLevelType w:val="multilevel"/>
    <w:tmpl w:val="0F22E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693384"/>
    <w:multiLevelType w:val="hybridMultilevel"/>
    <w:tmpl w:val="6EF4150E"/>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8115AA"/>
    <w:multiLevelType w:val="hybridMultilevel"/>
    <w:tmpl w:val="B5CCD264"/>
    <w:lvl w:ilvl="0" w:tplc="374823C6">
      <w:start w:val="7"/>
      <w:numFmt w:val="decimal"/>
      <w:lvlText w:val="%1."/>
      <w:lvlJc w:val="left"/>
      <w:pPr>
        <w:ind w:left="720" w:hanging="360"/>
      </w:pPr>
      <w:rPr>
        <w:rFonts w:hint="default"/>
        <w:b/>
        <w:color w:val="0087C3"/>
        <w:sz w:val="1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D35B95"/>
    <w:multiLevelType w:val="hybridMultilevel"/>
    <w:tmpl w:val="7C06585E"/>
    <w:lvl w:ilvl="0" w:tplc="B1DE48E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E726A4"/>
    <w:multiLevelType w:val="hybridMultilevel"/>
    <w:tmpl w:val="3FEC9B96"/>
    <w:lvl w:ilvl="0" w:tplc="3CDE65A0">
      <w:start w:val="1"/>
      <w:numFmt w:val="bullet"/>
      <w:pStyle w:val="Texteavecpucecarre"/>
      <w:lvlText w:val="■"/>
      <w:lvlJc w:val="left"/>
      <w:pPr>
        <w:ind w:left="720" w:hanging="360"/>
      </w:pPr>
      <w:rPr>
        <w:rFonts w:ascii="Arial" w:hAnsi="Arial" w:hint="default"/>
        <w:color w:val="0087C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D461D3"/>
    <w:multiLevelType w:val="multilevel"/>
    <w:tmpl w:val="46C8E6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7162DB2"/>
    <w:multiLevelType w:val="multilevel"/>
    <w:tmpl w:val="9D601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C557DD5"/>
    <w:multiLevelType w:val="multilevel"/>
    <w:tmpl w:val="A4D29F68"/>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A50079"/>
    <w:multiLevelType w:val="multilevel"/>
    <w:tmpl w:val="27D0A952"/>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BA5D8F"/>
    <w:multiLevelType w:val="multilevel"/>
    <w:tmpl w:val="FDC06E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CFA4DE3"/>
    <w:multiLevelType w:val="multilevel"/>
    <w:tmpl w:val="70109F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pStyle w:val="Titre6"/>
      <w:lvlText w:val="%1.%2.%3.%4.%5.%6."/>
      <w:lvlJc w:val="left"/>
      <w:pPr>
        <w:ind w:left="2736" w:hanging="936"/>
      </w:pPr>
    </w:lvl>
    <w:lvl w:ilvl="6">
      <w:start w:val="1"/>
      <w:numFmt w:val="decimal"/>
      <w:pStyle w:val="Titre7"/>
      <w:lvlText w:val="%1.%2.%3.%4.%5.%6.%7."/>
      <w:lvlJc w:val="left"/>
      <w:pPr>
        <w:ind w:left="3240" w:hanging="1080"/>
      </w:pPr>
    </w:lvl>
    <w:lvl w:ilvl="7">
      <w:start w:val="1"/>
      <w:numFmt w:val="decimal"/>
      <w:pStyle w:val="Titre8"/>
      <w:lvlText w:val="%1.%2.%3.%4.%5.%6.%7.%8."/>
      <w:lvlJc w:val="left"/>
      <w:pPr>
        <w:ind w:left="3744" w:hanging="1224"/>
      </w:pPr>
    </w:lvl>
    <w:lvl w:ilvl="8">
      <w:start w:val="1"/>
      <w:numFmt w:val="decimal"/>
      <w:pStyle w:val="Titre9"/>
      <w:lvlText w:val="%1.%2.%3.%4.%5.%6.%7.%8.%9."/>
      <w:lvlJc w:val="left"/>
      <w:pPr>
        <w:ind w:left="4320" w:hanging="1440"/>
      </w:pPr>
    </w:lvl>
  </w:abstractNum>
  <w:abstractNum w:abstractNumId="15">
    <w:nsid w:val="4FC15892"/>
    <w:multiLevelType w:val="multilevel"/>
    <w:tmpl w:val="7D9E7F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F7B9A"/>
    <w:multiLevelType w:val="hybridMultilevel"/>
    <w:tmpl w:val="E3EEBA20"/>
    <w:lvl w:ilvl="0" w:tplc="3EAE03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B8379BD"/>
    <w:multiLevelType w:val="hybridMultilevel"/>
    <w:tmpl w:val="31725F34"/>
    <w:lvl w:ilvl="0" w:tplc="BD1C6F1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857F0D"/>
    <w:multiLevelType w:val="multilevel"/>
    <w:tmpl w:val="BCEC37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DB069C8"/>
    <w:multiLevelType w:val="hybridMultilevel"/>
    <w:tmpl w:val="0BF61E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5E6007"/>
    <w:multiLevelType w:val="hybridMultilevel"/>
    <w:tmpl w:val="C7246CC0"/>
    <w:lvl w:ilvl="0" w:tplc="1F205C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0C3798"/>
    <w:multiLevelType w:val="hybridMultilevel"/>
    <w:tmpl w:val="79C8835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69B75671"/>
    <w:multiLevelType w:val="multilevel"/>
    <w:tmpl w:val="9D12289C"/>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B6C66B9"/>
    <w:multiLevelType w:val="hybridMultilevel"/>
    <w:tmpl w:val="BC84C458"/>
    <w:lvl w:ilvl="0" w:tplc="9126F7AA">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17A271F"/>
    <w:multiLevelType w:val="hybridMultilevel"/>
    <w:tmpl w:val="C4FCAA88"/>
    <w:lvl w:ilvl="0" w:tplc="EF74DEE4">
      <w:numFmt w:val="bullet"/>
      <w:lvlText w:val="-"/>
      <w:lvlJc w:val="left"/>
      <w:pPr>
        <w:ind w:left="720" w:hanging="360"/>
      </w:pPr>
      <w:rPr>
        <w:rFonts w:ascii="Arial" w:eastAsia="Times New Roman" w:hAnsi="Arial" w:cs="Aria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
    <w:nsid w:val="723538D0"/>
    <w:multiLevelType w:val="hybridMultilevel"/>
    <w:tmpl w:val="DE8C2D96"/>
    <w:lvl w:ilvl="0" w:tplc="EEC825D0">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538294D"/>
    <w:multiLevelType w:val="multilevel"/>
    <w:tmpl w:val="C8AE7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8560AF"/>
    <w:multiLevelType w:val="multilevel"/>
    <w:tmpl w:val="95543790"/>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E891ECD"/>
    <w:multiLevelType w:val="hybridMultilevel"/>
    <w:tmpl w:val="A680F00C"/>
    <w:lvl w:ilvl="0" w:tplc="BD1C6F12">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2"/>
  </w:num>
  <w:num w:numId="4">
    <w:abstractNumId w:val="26"/>
  </w:num>
  <w:num w:numId="5">
    <w:abstractNumId w:val="4"/>
  </w:num>
  <w:num w:numId="6">
    <w:abstractNumId w:val="15"/>
  </w:num>
  <w:num w:numId="7">
    <w:abstractNumId w:val="12"/>
    <w:lvlOverride w:ilvl="0">
      <w:lvl w:ilvl="0">
        <w:start w:val="1"/>
        <w:numFmt w:val="decimal"/>
        <w:lvlText w:val="%1."/>
        <w:lvlJc w:val="left"/>
        <w:pPr>
          <w:ind w:left="360" w:hanging="360"/>
        </w:pPr>
        <w:rPr>
          <w:rFonts w:hint="default"/>
          <w:color w:val="0087C3"/>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11"/>
  </w:num>
  <w:num w:numId="10">
    <w:abstractNumId w:val="27"/>
  </w:num>
  <w:num w:numId="11">
    <w:abstractNumId w:val="14"/>
  </w:num>
  <w:num w:numId="12">
    <w:abstractNumId w:val="3"/>
  </w:num>
  <w:num w:numId="13">
    <w:abstractNumId w:val="10"/>
  </w:num>
  <w:num w:numId="14">
    <w:abstractNumId w:val="13"/>
  </w:num>
  <w:num w:numId="15">
    <w:abstractNumId w:val="9"/>
  </w:num>
  <w:num w:numId="16">
    <w:abstractNumId w:val="18"/>
  </w:num>
  <w:num w:numId="17">
    <w:abstractNumId w:val="25"/>
  </w:num>
  <w:num w:numId="18">
    <w:abstractNumId w:val="0"/>
  </w:num>
  <w:num w:numId="19">
    <w:abstractNumId w:val="19"/>
  </w:num>
  <w:num w:numId="20">
    <w:abstractNumId w:val="5"/>
  </w:num>
  <w:num w:numId="21">
    <w:abstractNumId w:val="2"/>
  </w:num>
  <w:num w:numId="22">
    <w:abstractNumId w:val="17"/>
  </w:num>
  <w:num w:numId="23">
    <w:abstractNumId w:val="1"/>
  </w:num>
  <w:num w:numId="24">
    <w:abstractNumId w:val="28"/>
  </w:num>
  <w:num w:numId="25">
    <w:abstractNumId w:val="6"/>
  </w:num>
  <w:num w:numId="26">
    <w:abstractNumId w:val="24"/>
  </w:num>
  <w:num w:numId="27">
    <w:abstractNumId w:val="21"/>
  </w:num>
  <w:num w:numId="28">
    <w:abstractNumId w:val="23"/>
  </w:num>
  <w:num w:numId="29">
    <w:abstractNumId w:val="20"/>
  </w:num>
  <w:num w:numId="30">
    <w:abstractNumId w:val="1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B4216"/>
    <w:rsid w:val="000132A9"/>
    <w:rsid w:val="000208E3"/>
    <w:rsid w:val="00025FEC"/>
    <w:rsid w:val="00066DEA"/>
    <w:rsid w:val="00086521"/>
    <w:rsid w:val="00087744"/>
    <w:rsid w:val="000B2A07"/>
    <w:rsid w:val="000D73A5"/>
    <w:rsid w:val="000E1CB7"/>
    <w:rsid w:val="00130263"/>
    <w:rsid w:val="001316C5"/>
    <w:rsid w:val="0013273D"/>
    <w:rsid w:val="00137F38"/>
    <w:rsid w:val="00186313"/>
    <w:rsid w:val="00197453"/>
    <w:rsid w:val="001B35B7"/>
    <w:rsid w:val="001F3585"/>
    <w:rsid w:val="00224BBE"/>
    <w:rsid w:val="00257C6E"/>
    <w:rsid w:val="0026605D"/>
    <w:rsid w:val="002976BE"/>
    <w:rsid w:val="002B0E51"/>
    <w:rsid w:val="002C24F6"/>
    <w:rsid w:val="002E19F7"/>
    <w:rsid w:val="002E263A"/>
    <w:rsid w:val="0031609B"/>
    <w:rsid w:val="00317416"/>
    <w:rsid w:val="00352199"/>
    <w:rsid w:val="003610F8"/>
    <w:rsid w:val="00364601"/>
    <w:rsid w:val="00377221"/>
    <w:rsid w:val="0039210E"/>
    <w:rsid w:val="003960F9"/>
    <w:rsid w:val="003C0E2C"/>
    <w:rsid w:val="003D6884"/>
    <w:rsid w:val="004161C2"/>
    <w:rsid w:val="00426DA3"/>
    <w:rsid w:val="004274F9"/>
    <w:rsid w:val="00432B26"/>
    <w:rsid w:val="0045587C"/>
    <w:rsid w:val="00462BC2"/>
    <w:rsid w:val="00482DC1"/>
    <w:rsid w:val="00490386"/>
    <w:rsid w:val="004B3288"/>
    <w:rsid w:val="004B632E"/>
    <w:rsid w:val="004E6ADA"/>
    <w:rsid w:val="0053675B"/>
    <w:rsid w:val="005476F2"/>
    <w:rsid w:val="00547BD6"/>
    <w:rsid w:val="00561CF8"/>
    <w:rsid w:val="0058341B"/>
    <w:rsid w:val="005925ED"/>
    <w:rsid w:val="005A0385"/>
    <w:rsid w:val="005C796B"/>
    <w:rsid w:val="005D599E"/>
    <w:rsid w:val="0062746C"/>
    <w:rsid w:val="00654558"/>
    <w:rsid w:val="00691365"/>
    <w:rsid w:val="00747BBE"/>
    <w:rsid w:val="00760B1F"/>
    <w:rsid w:val="007B217C"/>
    <w:rsid w:val="007B44B4"/>
    <w:rsid w:val="007F31AE"/>
    <w:rsid w:val="008015F4"/>
    <w:rsid w:val="008105B3"/>
    <w:rsid w:val="00842D9C"/>
    <w:rsid w:val="00854AB4"/>
    <w:rsid w:val="00855A58"/>
    <w:rsid w:val="00895432"/>
    <w:rsid w:val="008A3553"/>
    <w:rsid w:val="0094362B"/>
    <w:rsid w:val="0098766A"/>
    <w:rsid w:val="009E05F6"/>
    <w:rsid w:val="009F647B"/>
    <w:rsid w:val="00A260BF"/>
    <w:rsid w:val="00A41D15"/>
    <w:rsid w:val="00A80DAD"/>
    <w:rsid w:val="00A86CF9"/>
    <w:rsid w:val="00AB4216"/>
    <w:rsid w:val="00AD2E6F"/>
    <w:rsid w:val="00B52775"/>
    <w:rsid w:val="00BA77D5"/>
    <w:rsid w:val="00BB5A06"/>
    <w:rsid w:val="00BD2AFC"/>
    <w:rsid w:val="00BF498E"/>
    <w:rsid w:val="00C1150C"/>
    <w:rsid w:val="00C20B9F"/>
    <w:rsid w:val="00C57F54"/>
    <w:rsid w:val="00C6724B"/>
    <w:rsid w:val="00CB450B"/>
    <w:rsid w:val="00D10DBF"/>
    <w:rsid w:val="00D15EB1"/>
    <w:rsid w:val="00D6107A"/>
    <w:rsid w:val="00D61F8B"/>
    <w:rsid w:val="00D66107"/>
    <w:rsid w:val="00D72141"/>
    <w:rsid w:val="00D90821"/>
    <w:rsid w:val="00DB4F9A"/>
    <w:rsid w:val="00E01783"/>
    <w:rsid w:val="00E17E45"/>
    <w:rsid w:val="00E54AD1"/>
    <w:rsid w:val="00EA0746"/>
    <w:rsid w:val="00EB2C40"/>
    <w:rsid w:val="00F21D91"/>
    <w:rsid w:val="00F349E7"/>
    <w:rsid w:val="00F42F9A"/>
    <w:rsid w:val="00F554BD"/>
    <w:rsid w:val="00F7350F"/>
    <w:rsid w:val="00FB58B2"/>
    <w:rsid w:val="00FC27BE"/>
    <w:rsid w:val="00FC7A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5EB1"/>
    <w:pPr>
      <w:spacing w:before="120" w:after="120"/>
    </w:pPr>
    <w:rPr>
      <w:rFonts w:ascii="Arial" w:hAnsi="Arial" w:cs="Arial"/>
      <w:color w:val="5C5C5C"/>
      <w:sz w:val="10"/>
      <w:szCs w:val="22"/>
      <w:lang w:eastAsia="en-US"/>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B52775"/>
    <w:pPr>
      <w:widowControl w:val="0"/>
      <w:numPr>
        <w:ilvl w:val="1"/>
        <w:numId w:val="11"/>
      </w:numPr>
      <w:outlineLvl w:val="1"/>
    </w:pPr>
    <w:rPr>
      <w:color w:val="0087C3"/>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ind w:left="284" w:hanging="284"/>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B52775"/>
    <w:rPr>
      <w:rFonts w:ascii="Arial" w:hAnsi="Arial" w:cs="Arial"/>
      <w:color w:val="0087C3"/>
      <w:sz w:val="10"/>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imes New Roman"/>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nhideWhenUsed/>
    <w:rsid w:val="00854AB4"/>
    <w:rPr>
      <w:color w:val="0000FF"/>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 w:type="paragraph" w:customStyle="1" w:styleId="Level1">
    <w:name w:val="Level 1"/>
    <w:basedOn w:val="Normal"/>
    <w:next w:val="Normal"/>
    <w:rsid w:val="00EB2C40"/>
    <w:pPr>
      <w:numPr>
        <w:numId w:val="12"/>
      </w:numPr>
      <w:spacing w:before="0" w:after="210" w:line="264" w:lineRule="auto"/>
      <w:jc w:val="both"/>
      <w:outlineLvl w:val="0"/>
    </w:pPr>
    <w:rPr>
      <w:rFonts w:ascii="Garamond" w:eastAsia="Times New Roman" w:hAnsi="Garamond" w:cs="Times New Roman"/>
      <w:b/>
      <w:bCs/>
      <w:caps/>
      <w:color w:val="auto"/>
      <w:kern w:val="28"/>
      <w:szCs w:val="20"/>
    </w:rPr>
  </w:style>
  <w:style w:type="paragraph" w:customStyle="1" w:styleId="Level2">
    <w:name w:val="Level 2"/>
    <w:basedOn w:val="Normal"/>
    <w:next w:val="Normal"/>
    <w:rsid w:val="00EB2C40"/>
    <w:pPr>
      <w:numPr>
        <w:ilvl w:val="1"/>
        <w:numId w:val="12"/>
      </w:numPr>
      <w:spacing w:before="0" w:after="210" w:line="264" w:lineRule="auto"/>
      <w:jc w:val="both"/>
      <w:outlineLvl w:val="1"/>
    </w:pPr>
    <w:rPr>
      <w:rFonts w:ascii="Garamond" w:eastAsia="Times New Roman" w:hAnsi="Garamond" w:cs="Times New Roman"/>
      <w:color w:val="auto"/>
      <w:kern w:val="28"/>
      <w:szCs w:val="20"/>
    </w:rPr>
  </w:style>
  <w:style w:type="paragraph" w:customStyle="1" w:styleId="Level3">
    <w:name w:val="Level 3"/>
    <w:basedOn w:val="Normal"/>
    <w:next w:val="Normal"/>
    <w:rsid w:val="00EB2C40"/>
    <w:pPr>
      <w:numPr>
        <w:ilvl w:val="2"/>
        <w:numId w:val="12"/>
      </w:numPr>
      <w:tabs>
        <w:tab w:val="clear" w:pos="1418"/>
        <w:tab w:val="num" w:pos="720"/>
      </w:tabs>
      <w:spacing w:before="0" w:after="60" w:line="264" w:lineRule="auto"/>
      <w:ind w:left="720" w:hanging="720"/>
      <w:jc w:val="both"/>
      <w:outlineLvl w:val="2"/>
    </w:pPr>
    <w:rPr>
      <w:rFonts w:ascii="Garamond" w:eastAsia="Times New Roman" w:hAnsi="Garamond" w:cs="Times New Roman"/>
      <w:color w:val="auto"/>
      <w:kern w:val="28"/>
      <w:szCs w:val="20"/>
    </w:rPr>
  </w:style>
  <w:style w:type="paragraph" w:customStyle="1" w:styleId="Level4">
    <w:name w:val="Level 4"/>
    <w:basedOn w:val="Normal"/>
    <w:next w:val="Normal"/>
    <w:rsid w:val="00EB2C40"/>
    <w:pPr>
      <w:numPr>
        <w:ilvl w:val="3"/>
        <w:numId w:val="12"/>
      </w:numPr>
      <w:spacing w:before="0" w:after="210" w:line="264" w:lineRule="auto"/>
      <w:jc w:val="both"/>
      <w:outlineLvl w:val="3"/>
    </w:pPr>
    <w:rPr>
      <w:rFonts w:eastAsia="Times New Roman" w:cs="Times New Roman"/>
      <w:color w:val="auto"/>
      <w:kern w:val="28"/>
      <w:sz w:val="21"/>
      <w:szCs w:val="20"/>
    </w:rPr>
  </w:style>
  <w:style w:type="paragraph" w:customStyle="1" w:styleId="Level5">
    <w:name w:val="Level 5"/>
    <w:basedOn w:val="Normal"/>
    <w:next w:val="Normal"/>
    <w:rsid w:val="00EB2C40"/>
    <w:pPr>
      <w:numPr>
        <w:ilvl w:val="4"/>
        <w:numId w:val="12"/>
      </w:numPr>
      <w:spacing w:before="0" w:after="210" w:line="264" w:lineRule="auto"/>
      <w:jc w:val="both"/>
      <w:outlineLvl w:val="4"/>
    </w:pPr>
    <w:rPr>
      <w:rFonts w:eastAsia="Times New Roman" w:cs="Times New Roman"/>
      <w:color w:val="auto"/>
      <w:kern w:val="28"/>
      <w:sz w:val="21"/>
      <w:szCs w:val="20"/>
    </w:rPr>
  </w:style>
  <w:style w:type="paragraph" w:customStyle="1" w:styleId="Level6">
    <w:name w:val="Level 6"/>
    <w:basedOn w:val="Normal"/>
    <w:rsid w:val="00EB2C40"/>
    <w:pPr>
      <w:numPr>
        <w:ilvl w:val="5"/>
        <w:numId w:val="12"/>
      </w:numPr>
      <w:tabs>
        <w:tab w:val="left" w:pos="4320"/>
      </w:tabs>
      <w:spacing w:before="0" w:after="240" w:line="264" w:lineRule="auto"/>
      <w:jc w:val="both"/>
      <w:outlineLvl w:val="5"/>
    </w:pPr>
    <w:rPr>
      <w:rFonts w:eastAsia="Times New Roman" w:cs="Times New Roman"/>
      <w:color w:val="auto"/>
      <w:kern w:val="28"/>
      <w:sz w:val="21"/>
      <w:szCs w:val="20"/>
    </w:rPr>
  </w:style>
  <w:style w:type="paragraph" w:styleId="Titre">
    <w:name w:val="Title"/>
    <w:basedOn w:val="Normal"/>
    <w:next w:val="Normal"/>
    <w:link w:val="TitreCar"/>
    <w:qFormat/>
    <w:rsid w:val="00317416"/>
    <w:pPr>
      <w:numPr>
        <w:numId w:val="17"/>
      </w:numPr>
      <w:spacing w:before="0" w:after="0"/>
    </w:pPr>
    <w:rPr>
      <w:rFonts w:eastAsia="Times New Roman" w:cs="Times New Roman"/>
      <w:b/>
      <w:bCs/>
      <w:color w:val="auto"/>
      <w:sz w:val="16"/>
      <w:szCs w:val="24"/>
      <w:lang w:eastAsia="fr-FR"/>
    </w:rPr>
  </w:style>
  <w:style w:type="character" w:customStyle="1" w:styleId="TitreCar">
    <w:name w:val="Titre Car"/>
    <w:basedOn w:val="Policepardfaut"/>
    <w:link w:val="Titre"/>
    <w:rsid w:val="00317416"/>
    <w:rPr>
      <w:rFonts w:ascii="Arial" w:eastAsia="Times New Roman" w:hAnsi="Arial" w:cs="Times New Roman"/>
      <w:b/>
      <w:bCs/>
      <w:sz w:val="1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5EB1"/>
    <w:pPr>
      <w:spacing w:before="120" w:after="120"/>
    </w:pPr>
    <w:rPr>
      <w:rFonts w:ascii="Arial" w:hAnsi="Arial" w:cs="Arial"/>
      <w:color w:val="5C5C5C"/>
      <w:sz w:val="10"/>
      <w:szCs w:val="22"/>
      <w:lang w:eastAsia="en-US"/>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B52775"/>
    <w:pPr>
      <w:widowControl w:val="0"/>
      <w:numPr>
        <w:ilvl w:val="1"/>
        <w:numId w:val="11"/>
      </w:numPr>
      <w:outlineLvl w:val="1"/>
    </w:pPr>
    <w:rPr>
      <w:color w:val="0087C3"/>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ind w:left="284" w:hanging="284"/>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B52775"/>
    <w:rPr>
      <w:rFonts w:ascii="Arial" w:hAnsi="Arial" w:cs="Arial"/>
      <w:color w:val="0087C3"/>
      <w:sz w:val="10"/>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imes New Roman"/>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nhideWhenUsed/>
    <w:rsid w:val="00854AB4"/>
    <w:rPr>
      <w:color w:val="0000FF"/>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 w:type="paragraph" w:customStyle="1" w:styleId="Level1">
    <w:name w:val="Level 1"/>
    <w:basedOn w:val="Normal"/>
    <w:next w:val="Normal"/>
    <w:rsid w:val="00EB2C40"/>
    <w:pPr>
      <w:numPr>
        <w:numId w:val="12"/>
      </w:numPr>
      <w:spacing w:before="0" w:after="210" w:line="264" w:lineRule="auto"/>
      <w:jc w:val="both"/>
      <w:outlineLvl w:val="0"/>
    </w:pPr>
    <w:rPr>
      <w:rFonts w:ascii="Garamond" w:eastAsia="Times New Roman" w:hAnsi="Garamond" w:cs="Times New Roman"/>
      <w:b/>
      <w:bCs/>
      <w:caps/>
      <w:color w:val="auto"/>
      <w:kern w:val="28"/>
      <w:szCs w:val="20"/>
    </w:rPr>
  </w:style>
  <w:style w:type="paragraph" w:customStyle="1" w:styleId="Level2">
    <w:name w:val="Level 2"/>
    <w:basedOn w:val="Normal"/>
    <w:next w:val="Normal"/>
    <w:rsid w:val="00EB2C40"/>
    <w:pPr>
      <w:numPr>
        <w:ilvl w:val="1"/>
        <w:numId w:val="12"/>
      </w:numPr>
      <w:spacing w:before="0" w:after="210" w:line="264" w:lineRule="auto"/>
      <w:jc w:val="both"/>
      <w:outlineLvl w:val="1"/>
    </w:pPr>
    <w:rPr>
      <w:rFonts w:ascii="Garamond" w:eastAsia="Times New Roman" w:hAnsi="Garamond" w:cs="Times New Roman"/>
      <w:color w:val="auto"/>
      <w:kern w:val="28"/>
      <w:szCs w:val="20"/>
    </w:rPr>
  </w:style>
  <w:style w:type="paragraph" w:customStyle="1" w:styleId="Level3">
    <w:name w:val="Level 3"/>
    <w:basedOn w:val="Normal"/>
    <w:next w:val="Normal"/>
    <w:rsid w:val="00EB2C40"/>
    <w:pPr>
      <w:numPr>
        <w:ilvl w:val="2"/>
        <w:numId w:val="12"/>
      </w:numPr>
      <w:tabs>
        <w:tab w:val="clear" w:pos="1418"/>
        <w:tab w:val="num" w:pos="720"/>
      </w:tabs>
      <w:spacing w:before="0" w:after="60" w:line="264" w:lineRule="auto"/>
      <w:ind w:left="720" w:hanging="720"/>
      <w:jc w:val="both"/>
      <w:outlineLvl w:val="2"/>
    </w:pPr>
    <w:rPr>
      <w:rFonts w:ascii="Garamond" w:eastAsia="Times New Roman" w:hAnsi="Garamond" w:cs="Times New Roman"/>
      <w:color w:val="auto"/>
      <w:kern w:val="28"/>
      <w:szCs w:val="20"/>
    </w:rPr>
  </w:style>
  <w:style w:type="paragraph" w:customStyle="1" w:styleId="Level4">
    <w:name w:val="Level 4"/>
    <w:basedOn w:val="Normal"/>
    <w:next w:val="Normal"/>
    <w:rsid w:val="00EB2C40"/>
    <w:pPr>
      <w:numPr>
        <w:ilvl w:val="3"/>
        <w:numId w:val="12"/>
      </w:numPr>
      <w:spacing w:before="0" w:after="210" w:line="264" w:lineRule="auto"/>
      <w:jc w:val="both"/>
      <w:outlineLvl w:val="3"/>
    </w:pPr>
    <w:rPr>
      <w:rFonts w:eastAsia="Times New Roman" w:cs="Times New Roman"/>
      <w:color w:val="auto"/>
      <w:kern w:val="28"/>
      <w:sz w:val="21"/>
      <w:szCs w:val="20"/>
    </w:rPr>
  </w:style>
  <w:style w:type="paragraph" w:customStyle="1" w:styleId="Level5">
    <w:name w:val="Level 5"/>
    <w:basedOn w:val="Normal"/>
    <w:next w:val="Normal"/>
    <w:rsid w:val="00EB2C40"/>
    <w:pPr>
      <w:numPr>
        <w:ilvl w:val="4"/>
        <w:numId w:val="12"/>
      </w:numPr>
      <w:spacing w:before="0" w:after="210" w:line="264" w:lineRule="auto"/>
      <w:jc w:val="both"/>
      <w:outlineLvl w:val="4"/>
    </w:pPr>
    <w:rPr>
      <w:rFonts w:eastAsia="Times New Roman" w:cs="Times New Roman"/>
      <w:color w:val="auto"/>
      <w:kern w:val="28"/>
      <w:sz w:val="21"/>
      <w:szCs w:val="20"/>
    </w:rPr>
  </w:style>
  <w:style w:type="paragraph" w:customStyle="1" w:styleId="Level6">
    <w:name w:val="Level 6"/>
    <w:basedOn w:val="Normal"/>
    <w:rsid w:val="00EB2C40"/>
    <w:pPr>
      <w:numPr>
        <w:ilvl w:val="5"/>
        <w:numId w:val="12"/>
      </w:numPr>
      <w:tabs>
        <w:tab w:val="left" w:pos="4320"/>
      </w:tabs>
      <w:spacing w:before="0" w:after="240" w:line="264" w:lineRule="auto"/>
      <w:jc w:val="both"/>
      <w:outlineLvl w:val="5"/>
    </w:pPr>
    <w:rPr>
      <w:rFonts w:eastAsia="Times New Roman" w:cs="Times New Roman"/>
      <w:color w:val="auto"/>
      <w:kern w:val="28"/>
      <w:sz w:val="21"/>
      <w:szCs w:val="20"/>
    </w:rPr>
  </w:style>
  <w:style w:type="paragraph" w:styleId="Titre">
    <w:name w:val="Title"/>
    <w:basedOn w:val="Normal"/>
    <w:next w:val="Normal"/>
    <w:link w:val="TitreCar"/>
    <w:qFormat/>
    <w:rsid w:val="00317416"/>
    <w:pPr>
      <w:numPr>
        <w:numId w:val="17"/>
      </w:numPr>
      <w:spacing w:before="0" w:after="0"/>
    </w:pPr>
    <w:rPr>
      <w:rFonts w:eastAsia="Times New Roman" w:cs="Times New Roman"/>
      <w:b/>
      <w:bCs/>
      <w:color w:val="auto"/>
      <w:sz w:val="16"/>
      <w:szCs w:val="24"/>
      <w:lang w:eastAsia="fr-FR"/>
    </w:rPr>
  </w:style>
  <w:style w:type="character" w:customStyle="1" w:styleId="TitreCar">
    <w:name w:val="Titre Car"/>
    <w:basedOn w:val="Policepardfaut"/>
    <w:link w:val="Titre"/>
    <w:rsid w:val="00317416"/>
    <w:rPr>
      <w:rFonts w:ascii="Arial" w:eastAsia="Times New Roman" w:hAnsi="Arial" w:cs="Times New Roman"/>
      <w:b/>
      <w:bCs/>
      <w:sz w:val="16"/>
      <w:szCs w:val="24"/>
      <w:lang w:eastAsia="fr-FR"/>
    </w:rPr>
  </w:style>
</w:styles>
</file>

<file path=word/webSettings.xml><?xml version="1.0" encoding="utf-8"?>
<w:webSettings xmlns:r="http://schemas.openxmlformats.org/officeDocument/2006/relationships" xmlns:w="http://schemas.openxmlformats.org/wordprocessingml/2006/main">
  <w:divs>
    <w:div w:id="194662077">
      <w:bodyDiv w:val="1"/>
      <w:marLeft w:val="0"/>
      <w:marRight w:val="0"/>
      <w:marTop w:val="0"/>
      <w:marBottom w:val="0"/>
      <w:divBdr>
        <w:top w:val="none" w:sz="0" w:space="0" w:color="auto"/>
        <w:left w:val="none" w:sz="0" w:space="0" w:color="auto"/>
        <w:bottom w:val="none" w:sz="0" w:space="0" w:color="auto"/>
        <w:right w:val="none" w:sz="0" w:space="0" w:color="auto"/>
      </w:divBdr>
      <w:divsChild>
        <w:div w:id="106049071">
          <w:marLeft w:val="0"/>
          <w:marRight w:val="0"/>
          <w:marTop w:val="0"/>
          <w:marBottom w:val="0"/>
          <w:divBdr>
            <w:top w:val="none" w:sz="0" w:space="0" w:color="auto"/>
            <w:left w:val="none" w:sz="0" w:space="0" w:color="auto"/>
            <w:bottom w:val="none" w:sz="0" w:space="0" w:color="auto"/>
            <w:right w:val="none" w:sz="0" w:space="0" w:color="auto"/>
          </w:divBdr>
        </w:div>
        <w:div w:id="537547098">
          <w:marLeft w:val="0"/>
          <w:marRight w:val="0"/>
          <w:marTop w:val="0"/>
          <w:marBottom w:val="0"/>
          <w:divBdr>
            <w:top w:val="none" w:sz="0" w:space="0" w:color="auto"/>
            <w:left w:val="none" w:sz="0" w:space="0" w:color="auto"/>
            <w:bottom w:val="none" w:sz="0" w:space="0" w:color="auto"/>
            <w:right w:val="none" w:sz="0" w:space="0" w:color="auto"/>
          </w:divBdr>
        </w:div>
        <w:div w:id="1248659958">
          <w:marLeft w:val="0"/>
          <w:marRight w:val="0"/>
          <w:marTop w:val="0"/>
          <w:marBottom w:val="0"/>
          <w:divBdr>
            <w:top w:val="none" w:sz="0" w:space="0" w:color="auto"/>
            <w:left w:val="none" w:sz="0" w:space="0" w:color="auto"/>
            <w:bottom w:val="none" w:sz="0" w:space="0" w:color="auto"/>
            <w:right w:val="none" w:sz="0" w:space="0" w:color="auto"/>
          </w:divBdr>
        </w:div>
      </w:divsChild>
    </w:div>
    <w:div w:id="652875679">
      <w:bodyDiv w:val="1"/>
      <w:marLeft w:val="0"/>
      <w:marRight w:val="0"/>
      <w:marTop w:val="0"/>
      <w:marBottom w:val="0"/>
      <w:divBdr>
        <w:top w:val="none" w:sz="0" w:space="0" w:color="auto"/>
        <w:left w:val="none" w:sz="0" w:space="0" w:color="auto"/>
        <w:bottom w:val="none" w:sz="0" w:space="0" w:color="auto"/>
        <w:right w:val="none" w:sz="0" w:space="0" w:color="auto"/>
      </w:divBdr>
      <w:divsChild>
        <w:div w:id="84108616">
          <w:marLeft w:val="0"/>
          <w:marRight w:val="0"/>
          <w:marTop w:val="0"/>
          <w:marBottom w:val="0"/>
          <w:divBdr>
            <w:top w:val="none" w:sz="0" w:space="0" w:color="auto"/>
            <w:left w:val="none" w:sz="0" w:space="0" w:color="auto"/>
            <w:bottom w:val="none" w:sz="0" w:space="0" w:color="auto"/>
            <w:right w:val="none" w:sz="0" w:space="0" w:color="auto"/>
          </w:divBdr>
        </w:div>
        <w:div w:id="97989205">
          <w:marLeft w:val="0"/>
          <w:marRight w:val="0"/>
          <w:marTop w:val="0"/>
          <w:marBottom w:val="0"/>
          <w:divBdr>
            <w:top w:val="none" w:sz="0" w:space="0" w:color="auto"/>
            <w:left w:val="none" w:sz="0" w:space="0" w:color="auto"/>
            <w:bottom w:val="none" w:sz="0" w:space="0" w:color="auto"/>
            <w:right w:val="none" w:sz="0" w:space="0" w:color="auto"/>
          </w:divBdr>
        </w:div>
        <w:div w:id="207886832">
          <w:marLeft w:val="0"/>
          <w:marRight w:val="0"/>
          <w:marTop w:val="0"/>
          <w:marBottom w:val="0"/>
          <w:divBdr>
            <w:top w:val="none" w:sz="0" w:space="0" w:color="auto"/>
            <w:left w:val="none" w:sz="0" w:space="0" w:color="auto"/>
            <w:bottom w:val="none" w:sz="0" w:space="0" w:color="auto"/>
            <w:right w:val="none" w:sz="0" w:space="0" w:color="auto"/>
          </w:divBdr>
        </w:div>
        <w:div w:id="362556189">
          <w:marLeft w:val="0"/>
          <w:marRight w:val="0"/>
          <w:marTop w:val="0"/>
          <w:marBottom w:val="0"/>
          <w:divBdr>
            <w:top w:val="none" w:sz="0" w:space="0" w:color="auto"/>
            <w:left w:val="none" w:sz="0" w:space="0" w:color="auto"/>
            <w:bottom w:val="none" w:sz="0" w:space="0" w:color="auto"/>
            <w:right w:val="none" w:sz="0" w:space="0" w:color="auto"/>
          </w:divBdr>
        </w:div>
        <w:div w:id="521630737">
          <w:marLeft w:val="0"/>
          <w:marRight w:val="0"/>
          <w:marTop w:val="0"/>
          <w:marBottom w:val="0"/>
          <w:divBdr>
            <w:top w:val="none" w:sz="0" w:space="0" w:color="auto"/>
            <w:left w:val="none" w:sz="0" w:space="0" w:color="auto"/>
            <w:bottom w:val="none" w:sz="0" w:space="0" w:color="auto"/>
            <w:right w:val="none" w:sz="0" w:space="0" w:color="auto"/>
          </w:divBdr>
        </w:div>
        <w:div w:id="779224340">
          <w:marLeft w:val="0"/>
          <w:marRight w:val="0"/>
          <w:marTop w:val="0"/>
          <w:marBottom w:val="0"/>
          <w:divBdr>
            <w:top w:val="none" w:sz="0" w:space="0" w:color="auto"/>
            <w:left w:val="none" w:sz="0" w:space="0" w:color="auto"/>
            <w:bottom w:val="none" w:sz="0" w:space="0" w:color="auto"/>
            <w:right w:val="none" w:sz="0" w:space="0" w:color="auto"/>
          </w:divBdr>
        </w:div>
        <w:div w:id="1243564943">
          <w:marLeft w:val="0"/>
          <w:marRight w:val="0"/>
          <w:marTop w:val="0"/>
          <w:marBottom w:val="0"/>
          <w:divBdr>
            <w:top w:val="none" w:sz="0" w:space="0" w:color="auto"/>
            <w:left w:val="none" w:sz="0" w:space="0" w:color="auto"/>
            <w:bottom w:val="none" w:sz="0" w:space="0" w:color="auto"/>
            <w:right w:val="none" w:sz="0" w:space="0" w:color="auto"/>
          </w:divBdr>
        </w:div>
        <w:div w:id="1293098483">
          <w:marLeft w:val="0"/>
          <w:marRight w:val="0"/>
          <w:marTop w:val="0"/>
          <w:marBottom w:val="0"/>
          <w:divBdr>
            <w:top w:val="none" w:sz="0" w:space="0" w:color="auto"/>
            <w:left w:val="none" w:sz="0" w:space="0" w:color="auto"/>
            <w:bottom w:val="none" w:sz="0" w:space="0" w:color="auto"/>
            <w:right w:val="none" w:sz="0" w:space="0" w:color="auto"/>
          </w:divBdr>
        </w:div>
        <w:div w:id="1324091623">
          <w:marLeft w:val="0"/>
          <w:marRight w:val="0"/>
          <w:marTop w:val="0"/>
          <w:marBottom w:val="0"/>
          <w:divBdr>
            <w:top w:val="none" w:sz="0" w:space="0" w:color="auto"/>
            <w:left w:val="none" w:sz="0" w:space="0" w:color="auto"/>
            <w:bottom w:val="none" w:sz="0" w:space="0" w:color="auto"/>
            <w:right w:val="none" w:sz="0" w:space="0" w:color="auto"/>
          </w:divBdr>
        </w:div>
        <w:div w:id="1461343176">
          <w:marLeft w:val="0"/>
          <w:marRight w:val="0"/>
          <w:marTop w:val="0"/>
          <w:marBottom w:val="0"/>
          <w:divBdr>
            <w:top w:val="none" w:sz="0" w:space="0" w:color="auto"/>
            <w:left w:val="none" w:sz="0" w:space="0" w:color="auto"/>
            <w:bottom w:val="none" w:sz="0" w:space="0" w:color="auto"/>
            <w:right w:val="none" w:sz="0" w:space="0" w:color="auto"/>
          </w:divBdr>
        </w:div>
        <w:div w:id="1462844753">
          <w:marLeft w:val="0"/>
          <w:marRight w:val="0"/>
          <w:marTop w:val="0"/>
          <w:marBottom w:val="0"/>
          <w:divBdr>
            <w:top w:val="none" w:sz="0" w:space="0" w:color="auto"/>
            <w:left w:val="none" w:sz="0" w:space="0" w:color="auto"/>
            <w:bottom w:val="none" w:sz="0" w:space="0" w:color="auto"/>
            <w:right w:val="none" w:sz="0" w:space="0" w:color="auto"/>
          </w:divBdr>
        </w:div>
        <w:div w:id="1512256153">
          <w:marLeft w:val="0"/>
          <w:marRight w:val="0"/>
          <w:marTop w:val="0"/>
          <w:marBottom w:val="0"/>
          <w:divBdr>
            <w:top w:val="none" w:sz="0" w:space="0" w:color="auto"/>
            <w:left w:val="none" w:sz="0" w:space="0" w:color="auto"/>
            <w:bottom w:val="none" w:sz="0" w:space="0" w:color="auto"/>
            <w:right w:val="none" w:sz="0" w:space="0" w:color="auto"/>
          </w:divBdr>
        </w:div>
        <w:div w:id="1516337193">
          <w:marLeft w:val="0"/>
          <w:marRight w:val="0"/>
          <w:marTop w:val="0"/>
          <w:marBottom w:val="0"/>
          <w:divBdr>
            <w:top w:val="none" w:sz="0" w:space="0" w:color="auto"/>
            <w:left w:val="none" w:sz="0" w:space="0" w:color="auto"/>
            <w:bottom w:val="none" w:sz="0" w:space="0" w:color="auto"/>
            <w:right w:val="none" w:sz="0" w:space="0" w:color="auto"/>
          </w:divBdr>
        </w:div>
        <w:div w:id="1621064105">
          <w:marLeft w:val="0"/>
          <w:marRight w:val="0"/>
          <w:marTop w:val="0"/>
          <w:marBottom w:val="0"/>
          <w:divBdr>
            <w:top w:val="none" w:sz="0" w:space="0" w:color="auto"/>
            <w:left w:val="none" w:sz="0" w:space="0" w:color="auto"/>
            <w:bottom w:val="none" w:sz="0" w:space="0" w:color="auto"/>
            <w:right w:val="none" w:sz="0" w:space="0" w:color="auto"/>
          </w:divBdr>
        </w:div>
        <w:div w:id="1665356941">
          <w:marLeft w:val="0"/>
          <w:marRight w:val="0"/>
          <w:marTop w:val="0"/>
          <w:marBottom w:val="0"/>
          <w:divBdr>
            <w:top w:val="none" w:sz="0" w:space="0" w:color="auto"/>
            <w:left w:val="none" w:sz="0" w:space="0" w:color="auto"/>
            <w:bottom w:val="none" w:sz="0" w:space="0" w:color="auto"/>
            <w:right w:val="none" w:sz="0" w:space="0" w:color="auto"/>
          </w:divBdr>
        </w:div>
        <w:div w:id="1951427590">
          <w:marLeft w:val="0"/>
          <w:marRight w:val="0"/>
          <w:marTop w:val="0"/>
          <w:marBottom w:val="0"/>
          <w:divBdr>
            <w:top w:val="none" w:sz="0" w:space="0" w:color="auto"/>
            <w:left w:val="none" w:sz="0" w:space="0" w:color="auto"/>
            <w:bottom w:val="none" w:sz="0" w:space="0" w:color="auto"/>
            <w:right w:val="none" w:sz="0" w:space="0" w:color="auto"/>
          </w:divBdr>
        </w:div>
        <w:div w:id="214265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aux\AppData\Local\Microsoft\Windows\Temporary%20Internet%20Files\Content.Outlook\NKDXWGFP\proposition_commerciale%20v4%20sans%20garde%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CDCE-2E1A-4C29-8E07-679E0120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proposition_commerciale v4 sans garde (2).dotx</Template>
  <TotalTime>2</TotalTime>
  <Pages>1</Pages>
  <Words>1998</Words>
  <Characters>10993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Brette</dc:creator>
  <cp:lastModifiedBy>p.mengelle@siatel.fr</cp:lastModifiedBy>
  <cp:revision>2</cp:revision>
  <cp:lastPrinted>2012-11-16T14:15:00Z</cp:lastPrinted>
  <dcterms:created xsi:type="dcterms:W3CDTF">2014-08-25T08:29:00Z</dcterms:created>
  <dcterms:modified xsi:type="dcterms:W3CDTF">2014-08-25T08:29:00Z</dcterms:modified>
</cp:coreProperties>
</file>